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55FD" w:rsidRDefault="009555FD">
      <w:pPr>
        <w:jc w:val="center"/>
        <w:rPr>
          <w:rFonts w:ascii="Times New Roman" w:eastAsia="方正小标宋简体" w:hAnsi="Times New Roman" w:hint="default"/>
          <w:sz w:val="84"/>
          <w:szCs w:val="84"/>
        </w:rPr>
      </w:pPr>
    </w:p>
    <w:p w:rsidR="009555FD" w:rsidRDefault="009555FD">
      <w:pPr>
        <w:jc w:val="center"/>
        <w:rPr>
          <w:rFonts w:ascii="Times New Roman" w:eastAsia="方正小标宋简体" w:hAnsi="Times New Roman" w:hint="default"/>
          <w:sz w:val="84"/>
          <w:szCs w:val="84"/>
        </w:rPr>
      </w:pPr>
    </w:p>
    <w:p w:rsidR="009555FD" w:rsidRDefault="009555FD">
      <w:pPr>
        <w:jc w:val="both"/>
        <w:rPr>
          <w:rFonts w:ascii="Times New Roman" w:eastAsia="方正小标宋简体" w:hAnsi="Times New Roman" w:hint="default"/>
          <w:sz w:val="84"/>
          <w:szCs w:val="84"/>
        </w:rPr>
      </w:pPr>
    </w:p>
    <w:p w:rsidR="009555FD" w:rsidRDefault="00BE3E8C">
      <w:pPr>
        <w:jc w:val="center"/>
        <w:rPr>
          <w:rFonts w:ascii="方正小标宋简体" w:eastAsia="方正小标宋简体" w:hAnsi="方正小标宋简体" w:cs="方正小标宋简体" w:hint="default"/>
          <w:sz w:val="72"/>
          <w:szCs w:val="72"/>
        </w:rPr>
      </w:pPr>
      <w:r>
        <w:rPr>
          <w:rFonts w:ascii="方正小标宋简体" w:eastAsia="方正小标宋简体" w:hAnsi="方正小标宋简体" w:cs="方正小标宋简体"/>
          <w:sz w:val="72"/>
          <w:szCs w:val="72"/>
        </w:rPr>
        <w:t>浙江省退役军人服务中心2020年度单位决算</w:t>
      </w:r>
    </w:p>
    <w:p w:rsidR="009555FD" w:rsidRDefault="009555FD">
      <w:pPr>
        <w:pStyle w:val="Char"/>
        <w:jc w:val="center"/>
        <w:rPr>
          <w:rFonts w:ascii="Times New Roman" w:eastAsia="黑体" w:hAnsi="Times New Roman" w:hint="default"/>
          <w:b/>
          <w:sz w:val="44"/>
          <w:szCs w:val="44"/>
        </w:rPr>
      </w:pPr>
    </w:p>
    <w:p w:rsidR="009555FD" w:rsidRDefault="009555FD">
      <w:pPr>
        <w:pStyle w:val="Char"/>
        <w:jc w:val="center"/>
        <w:rPr>
          <w:rFonts w:ascii="Times New Roman" w:eastAsia="黑体" w:hAnsi="Times New Roman" w:hint="default"/>
          <w:b/>
          <w:sz w:val="44"/>
          <w:szCs w:val="44"/>
        </w:rPr>
      </w:pPr>
    </w:p>
    <w:p w:rsidR="009555FD" w:rsidRDefault="009555FD">
      <w:pPr>
        <w:pStyle w:val="Char"/>
        <w:jc w:val="center"/>
        <w:rPr>
          <w:rFonts w:ascii="Times New Roman" w:eastAsia="黑体" w:hAnsi="Times New Roman" w:hint="default"/>
          <w:b/>
          <w:sz w:val="44"/>
          <w:szCs w:val="44"/>
        </w:rPr>
      </w:pPr>
    </w:p>
    <w:p w:rsidR="009555FD" w:rsidRDefault="009555FD">
      <w:pPr>
        <w:pStyle w:val="Char"/>
        <w:jc w:val="center"/>
        <w:rPr>
          <w:rFonts w:ascii="Times New Roman" w:eastAsia="黑体" w:hAnsi="Times New Roman" w:hint="default"/>
          <w:b/>
          <w:sz w:val="44"/>
          <w:szCs w:val="44"/>
        </w:rPr>
      </w:pPr>
    </w:p>
    <w:p w:rsidR="009555FD" w:rsidRDefault="009555FD">
      <w:pPr>
        <w:pStyle w:val="Char"/>
        <w:jc w:val="center"/>
        <w:rPr>
          <w:rFonts w:ascii="Times New Roman" w:eastAsia="黑体" w:hAnsi="Times New Roman" w:hint="default"/>
          <w:b/>
          <w:sz w:val="44"/>
          <w:szCs w:val="44"/>
        </w:rPr>
      </w:pPr>
    </w:p>
    <w:p w:rsidR="009555FD" w:rsidRDefault="009555FD">
      <w:pPr>
        <w:pStyle w:val="Char"/>
        <w:jc w:val="center"/>
        <w:rPr>
          <w:rFonts w:ascii="Times New Roman" w:eastAsia="黑体" w:hAnsi="Times New Roman" w:hint="default"/>
          <w:b/>
          <w:sz w:val="44"/>
          <w:szCs w:val="44"/>
        </w:rPr>
      </w:pPr>
    </w:p>
    <w:p w:rsidR="009555FD" w:rsidRDefault="009555FD">
      <w:pPr>
        <w:pStyle w:val="Char"/>
        <w:jc w:val="center"/>
        <w:rPr>
          <w:rFonts w:ascii="Times New Roman" w:eastAsia="黑体" w:hAnsi="Times New Roman" w:hint="default"/>
          <w:b/>
          <w:sz w:val="32"/>
          <w:szCs w:val="32"/>
        </w:rPr>
      </w:pPr>
    </w:p>
    <w:p w:rsidR="009555FD" w:rsidRDefault="009555FD">
      <w:pPr>
        <w:autoSpaceDE w:val="0"/>
        <w:spacing w:line="560" w:lineRule="atLeast"/>
        <w:jc w:val="center"/>
        <w:rPr>
          <w:rFonts w:ascii="Times New Roman" w:eastAsia="方正小标宋简体" w:hAnsi="Times New Roman" w:hint="default"/>
          <w:sz w:val="44"/>
          <w:szCs w:val="44"/>
        </w:rPr>
        <w:sectPr w:rsidR="009555FD">
          <w:pgSz w:w="11915" w:h="16851"/>
          <w:pgMar w:top="2098" w:right="1474" w:bottom="1984" w:left="1587" w:header="851" w:footer="992" w:gutter="0"/>
          <w:pgNumType w:fmt="numberInDash" w:start="1"/>
          <w:cols w:space="720"/>
          <w:docGrid w:type="lines" w:linePitch="312"/>
        </w:sectPr>
      </w:pPr>
    </w:p>
    <w:p w:rsidR="009555FD" w:rsidRDefault="00BE3E8C">
      <w:pPr>
        <w:autoSpaceDE w:val="0"/>
        <w:spacing w:line="560" w:lineRule="atLeast"/>
        <w:jc w:val="center"/>
        <w:rPr>
          <w:rFonts w:ascii="Times New Roman" w:eastAsia="方正小标宋简体" w:hAnsi="Times New Roman" w:hint="default"/>
          <w:sz w:val="44"/>
          <w:szCs w:val="44"/>
        </w:rPr>
      </w:pPr>
      <w:r>
        <w:rPr>
          <w:rFonts w:ascii="Times New Roman" w:eastAsia="方正小标宋简体" w:hAnsi="Times New Roman" w:hint="default"/>
          <w:sz w:val="44"/>
          <w:szCs w:val="44"/>
        </w:rPr>
        <w:lastRenderedPageBreak/>
        <w:t>目</w:t>
      </w:r>
      <w:r>
        <w:rPr>
          <w:rFonts w:ascii="Times New Roman" w:eastAsia="方正小标宋简体" w:hAnsi="Times New Roman" w:hint="default"/>
          <w:sz w:val="44"/>
          <w:szCs w:val="44"/>
        </w:rPr>
        <w:t xml:space="preserve">     </w:t>
      </w:r>
      <w:r>
        <w:rPr>
          <w:rFonts w:ascii="Times New Roman" w:eastAsia="方正小标宋简体" w:hAnsi="Times New Roman" w:hint="default"/>
          <w:sz w:val="44"/>
          <w:szCs w:val="44"/>
        </w:rPr>
        <w:t>录</w:t>
      </w:r>
    </w:p>
    <w:p w:rsidR="009555FD" w:rsidRDefault="009555FD">
      <w:pPr>
        <w:spacing w:line="600" w:lineRule="exact"/>
        <w:jc w:val="center"/>
        <w:rPr>
          <w:rFonts w:ascii="Times New Roman" w:eastAsia="方正小标宋简体" w:hAnsi="Times New Roman" w:hint="default"/>
          <w:sz w:val="44"/>
          <w:szCs w:val="44"/>
        </w:rPr>
      </w:pPr>
    </w:p>
    <w:p w:rsidR="009555FD" w:rsidRDefault="00BE3E8C">
      <w:pPr>
        <w:pStyle w:val="WPSOffice1"/>
        <w:tabs>
          <w:tab w:val="right" w:leader="dot" w:pos="8854"/>
        </w:tabs>
        <w:spacing w:line="560" w:lineRule="exact"/>
        <w:jc w:val="both"/>
        <w:rPr>
          <w:rFonts w:eastAsia="方正小标宋简体"/>
          <w:bCs/>
          <w:sz w:val="32"/>
          <w:szCs w:val="32"/>
        </w:rPr>
      </w:pPr>
      <w:r>
        <w:rPr>
          <w:rFonts w:eastAsia="方正小标宋简体"/>
          <w:sz w:val="32"/>
          <w:szCs w:val="32"/>
        </w:rPr>
        <w:fldChar w:fldCharType="begin" w:fldLock="1"/>
      </w:r>
      <w:r>
        <w:rPr>
          <w:rStyle w:val="21"/>
          <w:rFonts w:eastAsia="方正小标宋简体"/>
          <w:b w:val="0"/>
          <w:sz w:val="32"/>
          <w:szCs w:val="32"/>
        </w:rPr>
        <w:instrText xml:space="preserve">TOC \o "1-2" \h \u </w:instrText>
      </w:r>
      <w:r>
        <w:rPr>
          <w:rFonts w:eastAsia="方正小标宋简体"/>
          <w:sz w:val="32"/>
          <w:szCs w:val="32"/>
        </w:rPr>
        <w:fldChar w:fldCharType="separate"/>
      </w:r>
      <w:hyperlink w:anchor="_Toc17560" w:history="1">
        <w:r>
          <w:rPr>
            <w:rFonts w:eastAsia="黑体"/>
            <w:bCs/>
            <w:sz w:val="32"/>
            <w:szCs w:val="32"/>
          </w:rPr>
          <w:t>一、概况</w:t>
        </w:r>
        <w:r>
          <w:rPr>
            <w:bCs/>
            <w:sz w:val="32"/>
            <w:szCs w:val="32"/>
          </w:rPr>
          <w:tab/>
        </w:r>
        <w:r>
          <w:rPr>
            <w:bCs/>
            <w:sz w:val="32"/>
            <w:szCs w:val="32"/>
          </w:rPr>
          <w:fldChar w:fldCharType="begin" w:fldLock="1"/>
        </w:r>
        <w:r>
          <w:rPr>
            <w:bCs/>
            <w:sz w:val="32"/>
            <w:szCs w:val="32"/>
          </w:rPr>
          <w:instrText xml:space="preserve"> PAGEREF _Toc17560 </w:instrText>
        </w:r>
        <w:r>
          <w:rPr>
            <w:bCs/>
            <w:sz w:val="32"/>
            <w:szCs w:val="32"/>
          </w:rPr>
          <w:fldChar w:fldCharType="separate"/>
        </w:r>
        <w:r w:rsidR="00696A71">
          <w:rPr>
            <w:bCs/>
            <w:noProof/>
            <w:sz w:val="32"/>
            <w:szCs w:val="32"/>
          </w:rPr>
          <w:t xml:space="preserve"> 1 </w:t>
        </w:r>
        <w:r>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32710" w:history="1">
        <w:r w:rsidR="00BE3E8C">
          <w:rPr>
            <w:rFonts w:eastAsia="楷体_GB2312"/>
            <w:bCs/>
            <w:sz w:val="32"/>
            <w:szCs w:val="32"/>
          </w:rPr>
          <w:t>（一）单位职责</w:t>
        </w:r>
        <w:r w:rsidR="00BE3E8C">
          <w:rPr>
            <w:bCs/>
            <w:sz w:val="32"/>
            <w:szCs w:val="32"/>
          </w:rPr>
          <w:tab/>
        </w:r>
        <w:r w:rsidR="00BE3E8C">
          <w:rPr>
            <w:bCs/>
            <w:sz w:val="32"/>
            <w:szCs w:val="32"/>
          </w:rPr>
          <w:fldChar w:fldCharType="begin" w:fldLock="1"/>
        </w:r>
        <w:r w:rsidR="00BE3E8C">
          <w:rPr>
            <w:bCs/>
            <w:sz w:val="32"/>
            <w:szCs w:val="32"/>
          </w:rPr>
          <w:instrText xml:space="preserve"> PAGEREF _Toc32710 </w:instrText>
        </w:r>
        <w:r w:rsidR="00BE3E8C">
          <w:rPr>
            <w:bCs/>
            <w:sz w:val="32"/>
            <w:szCs w:val="32"/>
          </w:rPr>
          <w:fldChar w:fldCharType="separate"/>
        </w:r>
        <w:r w:rsidR="00696A71">
          <w:rPr>
            <w:bCs/>
            <w:noProof/>
            <w:sz w:val="32"/>
            <w:szCs w:val="32"/>
          </w:rPr>
          <w:t xml:space="preserve"> 1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8254" w:history="1">
        <w:r w:rsidR="00BE3E8C">
          <w:rPr>
            <w:rFonts w:eastAsia="楷体_GB2312"/>
            <w:bCs/>
            <w:sz w:val="32"/>
            <w:szCs w:val="32"/>
          </w:rPr>
          <w:t>（二）机构设置</w:t>
        </w:r>
        <w:r w:rsidR="00BE3E8C">
          <w:rPr>
            <w:bCs/>
            <w:sz w:val="32"/>
            <w:szCs w:val="32"/>
          </w:rPr>
          <w:tab/>
        </w:r>
        <w:r w:rsidR="00BE3E8C">
          <w:rPr>
            <w:bCs/>
            <w:sz w:val="32"/>
            <w:szCs w:val="32"/>
          </w:rPr>
          <w:fldChar w:fldCharType="begin" w:fldLock="1"/>
        </w:r>
        <w:r w:rsidR="00BE3E8C">
          <w:rPr>
            <w:bCs/>
            <w:sz w:val="32"/>
            <w:szCs w:val="32"/>
          </w:rPr>
          <w:instrText xml:space="preserve"> PAGEREF _Toc8254 </w:instrText>
        </w:r>
        <w:r w:rsidR="00BE3E8C">
          <w:rPr>
            <w:bCs/>
            <w:sz w:val="32"/>
            <w:szCs w:val="32"/>
          </w:rPr>
          <w:fldChar w:fldCharType="separate"/>
        </w:r>
        <w:r w:rsidR="00696A71">
          <w:rPr>
            <w:bCs/>
            <w:noProof/>
            <w:sz w:val="32"/>
            <w:szCs w:val="32"/>
          </w:rPr>
          <w:t xml:space="preserve"> 1 </w:t>
        </w:r>
        <w:r w:rsidR="00BE3E8C">
          <w:rPr>
            <w:bCs/>
            <w:sz w:val="32"/>
            <w:szCs w:val="32"/>
          </w:rPr>
          <w:fldChar w:fldCharType="end"/>
        </w:r>
      </w:hyperlink>
    </w:p>
    <w:p w:rsidR="009555FD" w:rsidRDefault="00BD7B07">
      <w:pPr>
        <w:pStyle w:val="WPSOffice1"/>
        <w:tabs>
          <w:tab w:val="right" w:leader="dot" w:pos="8854"/>
        </w:tabs>
        <w:spacing w:line="560" w:lineRule="exact"/>
        <w:rPr>
          <w:bCs/>
          <w:sz w:val="32"/>
          <w:szCs w:val="32"/>
        </w:rPr>
      </w:pPr>
      <w:hyperlink w:anchor="_Toc20029" w:history="1">
        <w:r w:rsidR="00BE3E8C">
          <w:rPr>
            <w:rFonts w:eastAsia="黑体"/>
            <w:bCs/>
            <w:sz w:val="32"/>
            <w:szCs w:val="32"/>
          </w:rPr>
          <w:t>二</w:t>
        </w:r>
        <w:r w:rsidR="00BE3E8C">
          <w:rPr>
            <w:rFonts w:eastAsia="黑体" w:hint="eastAsia"/>
            <w:bCs/>
            <w:sz w:val="32"/>
            <w:szCs w:val="32"/>
          </w:rPr>
          <w:t>、</w:t>
        </w:r>
        <w:r w:rsidR="00BE3E8C">
          <w:rPr>
            <w:rFonts w:eastAsia="黑体"/>
            <w:bCs/>
            <w:sz w:val="32"/>
            <w:szCs w:val="32"/>
          </w:rPr>
          <w:t>2020</w:t>
        </w:r>
        <w:r w:rsidR="00BE3E8C">
          <w:rPr>
            <w:rFonts w:eastAsia="黑体"/>
            <w:bCs/>
            <w:sz w:val="32"/>
            <w:szCs w:val="32"/>
          </w:rPr>
          <w:t>年度单位决算公开表</w:t>
        </w:r>
        <w:r w:rsidR="00BE3E8C">
          <w:rPr>
            <w:bCs/>
            <w:sz w:val="32"/>
            <w:szCs w:val="32"/>
          </w:rPr>
          <w:tab/>
        </w:r>
        <w:r w:rsidR="00BE3E8C">
          <w:rPr>
            <w:bCs/>
            <w:sz w:val="32"/>
            <w:szCs w:val="32"/>
          </w:rPr>
          <w:fldChar w:fldCharType="begin" w:fldLock="1"/>
        </w:r>
        <w:r w:rsidR="00BE3E8C">
          <w:rPr>
            <w:bCs/>
            <w:sz w:val="32"/>
            <w:szCs w:val="32"/>
          </w:rPr>
          <w:instrText xml:space="preserve"> PAGEREF _Toc20029 </w:instrText>
        </w:r>
        <w:r w:rsidR="00BE3E8C">
          <w:rPr>
            <w:bCs/>
            <w:sz w:val="32"/>
            <w:szCs w:val="32"/>
          </w:rPr>
          <w:fldChar w:fldCharType="separate"/>
        </w:r>
        <w:r w:rsidR="00696A71">
          <w:rPr>
            <w:bCs/>
            <w:noProof/>
            <w:sz w:val="32"/>
            <w:szCs w:val="32"/>
          </w:rPr>
          <w:t xml:space="preserve"> 2</w:t>
        </w:r>
        <w:r w:rsidR="00BE3E8C">
          <w:rPr>
            <w:bCs/>
            <w:sz w:val="32"/>
            <w:szCs w:val="32"/>
          </w:rPr>
          <w:fldChar w:fldCharType="end"/>
        </w:r>
      </w:hyperlink>
    </w:p>
    <w:p w:rsidR="009555FD" w:rsidRDefault="00BD7B07">
      <w:pPr>
        <w:pStyle w:val="WPSOffice1"/>
        <w:tabs>
          <w:tab w:val="right" w:leader="dot" w:pos="8854"/>
        </w:tabs>
        <w:spacing w:line="560" w:lineRule="exact"/>
        <w:rPr>
          <w:bCs/>
          <w:sz w:val="32"/>
          <w:szCs w:val="32"/>
        </w:rPr>
      </w:pPr>
      <w:hyperlink w:anchor="_Toc17849" w:history="1">
        <w:r w:rsidR="00BE3E8C">
          <w:rPr>
            <w:rFonts w:eastAsia="黑体"/>
            <w:bCs/>
            <w:sz w:val="32"/>
            <w:szCs w:val="32"/>
          </w:rPr>
          <w:t>三、</w:t>
        </w:r>
        <w:r w:rsidR="00BE3E8C">
          <w:rPr>
            <w:rFonts w:eastAsia="黑体"/>
            <w:bCs/>
            <w:sz w:val="32"/>
            <w:szCs w:val="32"/>
          </w:rPr>
          <w:t>2020</w:t>
        </w:r>
        <w:r w:rsidR="00BE3E8C">
          <w:rPr>
            <w:rFonts w:eastAsia="黑体"/>
            <w:bCs/>
            <w:sz w:val="32"/>
            <w:szCs w:val="32"/>
          </w:rPr>
          <w:t>年度单位决算情况说明</w:t>
        </w:r>
        <w:r w:rsidR="00BE3E8C">
          <w:rPr>
            <w:bCs/>
            <w:sz w:val="32"/>
            <w:szCs w:val="32"/>
          </w:rPr>
          <w:tab/>
        </w:r>
        <w:r w:rsidR="00BE3E8C">
          <w:rPr>
            <w:bCs/>
            <w:sz w:val="32"/>
            <w:szCs w:val="32"/>
          </w:rPr>
          <w:fldChar w:fldCharType="begin" w:fldLock="1"/>
        </w:r>
        <w:r w:rsidR="00BE3E8C">
          <w:rPr>
            <w:bCs/>
            <w:sz w:val="32"/>
            <w:szCs w:val="32"/>
          </w:rPr>
          <w:instrText xml:space="preserve"> PAGEREF _Toc17849 </w:instrText>
        </w:r>
        <w:r w:rsidR="00BE3E8C">
          <w:rPr>
            <w:bCs/>
            <w:sz w:val="32"/>
            <w:szCs w:val="32"/>
          </w:rPr>
          <w:fldChar w:fldCharType="separate"/>
        </w:r>
        <w:r w:rsidR="00696A71">
          <w:rPr>
            <w:bCs/>
            <w:noProof/>
            <w:sz w:val="32"/>
            <w:szCs w:val="32"/>
          </w:rPr>
          <w:t xml:space="preserve"> 2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3023" w:history="1">
        <w:r w:rsidR="00BE3E8C">
          <w:rPr>
            <w:rFonts w:eastAsia="楷体_GB2312"/>
            <w:bCs/>
            <w:sz w:val="32"/>
            <w:szCs w:val="32"/>
          </w:rPr>
          <w:t>（一）收入支出决算总体情况说明</w:t>
        </w:r>
        <w:r w:rsidR="00BE3E8C">
          <w:rPr>
            <w:bCs/>
            <w:sz w:val="32"/>
            <w:szCs w:val="32"/>
          </w:rPr>
          <w:tab/>
        </w:r>
        <w:r w:rsidR="00BE3E8C">
          <w:rPr>
            <w:bCs/>
            <w:sz w:val="32"/>
            <w:szCs w:val="32"/>
          </w:rPr>
          <w:fldChar w:fldCharType="begin" w:fldLock="1"/>
        </w:r>
        <w:r w:rsidR="00BE3E8C">
          <w:rPr>
            <w:bCs/>
            <w:sz w:val="32"/>
            <w:szCs w:val="32"/>
          </w:rPr>
          <w:instrText xml:space="preserve"> PAGEREF _Toc3023 </w:instrText>
        </w:r>
        <w:r w:rsidR="00BE3E8C">
          <w:rPr>
            <w:bCs/>
            <w:sz w:val="32"/>
            <w:szCs w:val="32"/>
          </w:rPr>
          <w:fldChar w:fldCharType="separate"/>
        </w:r>
        <w:r w:rsidR="00696A71">
          <w:rPr>
            <w:bCs/>
            <w:noProof/>
            <w:sz w:val="32"/>
            <w:szCs w:val="32"/>
          </w:rPr>
          <w:t xml:space="preserve"> 2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24863" w:history="1">
        <w:r w:rsidR="00BE3E8C">
          <w:rPr>
            <w:rFonts w:eastAsia="楷体_GB2312"/>
            <w:bCs/>
            <w:sz w:val="32"/>
            <w:szCs w:val="32"/>
          </w:rPr>
          <w:t>（二）收入决算情况说明</w:t>
        </w:r>
        <w:r w:rsidR="00BE3E8C">
          <w:rPr>
            <w:bCs/>
            <w:sz w:val="32"/>
            <w:szCs w:val="32"/>
          </w:rPr>
          <w:tab/>
        </w:r>
        <w:r w:rsidR="00BE3E8C">
          <w:rPr>
            <w:bCs/>
            <w:sz w:val="32"/>
            <w:szCs w:val="32"/>
          </w:rPr>
          <w:fldChar w:fldCharType="begin" w:fldLock="1"/>
        </w:r>
        <w:r w:rsidR="00BE3E8C">
          <w:rPr>
            <w:bCs/>
            <w:sz w:val="32"/>
            <w:szCs w:val="32"/>
          </w:rPr>
          <w:instrText xml:space="preserve"> PAGEREF _Toc24863 </w:instrText>
        </w:r>
        <w:r w:rsidR="00BE3E8C">
          <w:rPr>
            <w:bCs/>
            <w:sz w:val="32"/>
            <w:szCs w:val="32"/>
          </w:rPr>
          <w:fldChar w:fldCharType="separate"/>
        </w:r>
        <w:r w:rsidR="00696A71">
          <w:rPr>
            <w:bCs/>
            <w:noProof/>
            <w:sz w:val="32"/>
            <w:szCs w:val="32"/>
          </w:rPr>
          <w:t xml:space="preserve"> 2</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8935" w:history="1">
        <w:r w:rsidR="00BE3E8C">
          <w:rPr>
            <w:rFonts w:eastAsia="楷体_GB2312"/>
            <w:bCs/>
            <w:sz w:val="32"/>
            <w:szCs w:val="32"/>
          </w:rPr>
          <w:t>（三）支出决算情况说明</w:t>
        </w:r>
        <w:r w:rsidR="00BE3E8C">
          <w:rPr>
            <w:bCs/>
            <w:sz w:val="32"/>
            <w:szCs w:val="32"/>
          </w:rPr>
          <w:tab/>
        </w:r>
        <w:r w:rsidR="00BE3E8C">
          <w:rPr>
            <w:bCs/>
            <w:sz w:val="32"/>
            <w:szCs w:val="32"/>
          </w:rPr>
          <w:fldChar w:fldCharType="begin" w:fldLock="1"/>
        </w:r>
        <w:r w:rsidR="00BE3E8C">
          <w:rPr>
            <w:bCs/>
            <w:sz w:val="32"/>
            <w:szCs w:val="32"/>
          </w:rPr>
          <w:instrText xml:space="preserve"> PAGEREF _Toc8935 </w:instrText>
        </w:r>
        <w:r w:rsidR="00BE3E8C">
          <w:rPr>
            <w:bCs/>
            <w:sz w:val="32"/>
            <w:szCs w:val="32"/>
          </w:rPr>
          <w:fldChar w:fldCharType="separate"/>
        </w:r>
        <w:r w:rsidR="00696A71">
          <w:rPr>
            <w:bCs/>
            <w:noProof/>
            <w:sz w:val="32"/>
            <w:szCs w:val="32"/>
          </w:rPr>
          <w:t xml:space="preserve"> 2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12060" w:history="1">
        <w:r w:rsidR="00BE3E8C">
          <w:rPr>
            <w:rFonts w:eastAsia="楷体_GB2312"/>
            <w:bCs/>
            <w:sz w:val="32"/>
            <w:szCs w:val="32"/>
          </w:rPr>
          <w:t>（四）财政拨款收入支出决算总体情况说明</w:t>
        </w:r>
        <w:r w:rsidR="00BE3E8C">
          <w:rPr>
            <w:bCs/>
            <w:sz w:val="32"/>
            <w:szCs w:val="32"/>
          </w:rPr>
          <w:tab/>
        </w:r>
        <w:r w:rsidR="00BE3E8C">
          <w:rPr>
            <w:bCs/>
            <w:sz w:val="32"/>
            <w:szCs w:val="32"/>
          </w:rPr>
          <w:fldChar w:fldCharType="begin" w:fldLock="1"/>
        </w:r>
        <w:r w:rsidR="00BE3E8C">
          <w:rPr>
            <w:bCs/>
            <w:sz w:val="32"/>
            <w:szCs w:val="32"/>
          </w:rPr>
          <w:instrText xml:space="preserve"> PAGEREF _Toc12060 </w:instrText>
        </w:r>
        <w:r w:rsidR="00BE3E8C">
          <w:rPr>
            <w:bCs/>
            <w:sz w:val="32"/>
            <w:szCs w:val="32"/>
          </w:rPr>
          <w:fldChar w:fldCharType="separate"/>
        </w:r>
        <w:r w:rsidR="00696A71">
          <w:rPr>
            <w:bCs/>
            <w:noProof/>
            <w:sz w:val="32"/>
            <w:szCs w:val="32"/>
          </w:rPr>
          <w:t xml:space="preserve"> 3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4545" w:history="1">
        <w:r w:rsidR="00BE3E8C">
          <w:rPr>
            <w:rFonts w:eastAsia="楷体_GB2312"/>
            <w:bCs/>
            <w:sz w:val="32"/>
            <w:szCs w:val="32"/>
          </w:rPr>
          <w:t>（五）一般公共预算财政拨款支出决算情况说明</w:t>
        </w:r>
        <w:r w:rsidR="00BE3E8C">
          <w:rPr>
            <w:bCs/>
            <w:sz w:val="32"/>
            <w:szCs w:val="32"/>
          </w:rPr>
          <w:tab/>
        </w:r>
        <w:r w:rsidR="00BE3E8C">
          <w:rPr>
            <w:bCs/>
            <w:sz w:val="32"/>
            <w:szCs w:val="32"/>
          </w:rPr>
          <w:fldChar w:fldCharType="begin" w:fldLock="1"/>
        </w:r>
        <w:r w:rsidR="00BE3E8C">
          <w:rPr>
            <w:bCs/>
            <w:sz w:val="32"/>
            <w:szCs w:val="32"/>
          </w:rPr>
          <w:instrText xml:space="preserve"> PAGEREF _Toc4545 </w:instrText>
        </w:r>
        <w:r w:rsidR="00BE3E8C">
          <w:rPr>
            <w:bCs/>
            <w:sz w:val="32"/>
            <w:szCs w:val="32"/>
          </w:rPr>
          <w:fldChar w:fldCharType="separate"/>
        </w:r>
        <w:r w:rsidR="00696A71">
          <w:rPr>
            <w:bCs/>
            <w:noProof/>
            <w:sz w:val="32"/>
            <w:szCs w:val="32"/>
          </w:rPr>
          <w:t>3</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8243" w:history="1">
        <w:r w:rsidR="00BE3E8C">
          <w:rPr>
            <w:rFonts w:eastAsia="楷体_GB2312"/>
            <w:bCs/>
            <w:sz w:val="32"/>
            <w:szCs w:val="32"/>
          </w:rPr>
          <w:t>（六）一般公共预算财政拨款基本支出决算情况说明</w:t>
        </w:r>
        <w:r w:rsidR="00BE3E8C">
          <w:rPr>
            <w:bCs/>
            <w:sz w:val="32"/>
            <w:szCs w:val="32"/>
          </w:rPr>
          <w:tab/>
        </w:r>
        <w:r w:rsidR="00BE3E8C">
          <w:rPr>
            <w:bCs/>
            <w:sz w:val="32"/>
            <w:szCs w:val="32"/>
          </w:rPr>
          <w:fldChar w:fldCharType="begin" w:fldLock="1"/>
        </w:r>
        <w:r w:rsidR="00BE3E8C">
          <w:rPr>
            <w:bCs/>
            <w:sz w:val="32"/>
            <w:szCs w:val="32"/>
          </w:rPr>
          <w:instrText xml:space="preserve"> PAGEREF _Toc8243 </w:instrText>
        </w:r>
        <w:r w:rsidR="00BE3E8C">
          <w:rPr>
            <w:bCs/>
            <w:sz w:val="32"/>
            <w:szCs w:val="32"/>
          </w:rPr>
          <w:fldChar w:fldCharType="separate"/>
        </w:r>
        <w:r w:rsidR="00696A71">
          <w:rPr>
            <w:bCs/>
            <w:noProof/>
            <w:sz w:val="32"/>
            <w:szCs w:val="32"/>
          </w:rPr>
          <w:t xml:space="preserve"> 5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11563" w:history="1">
        <w:r w:rsidR="00BE3E8C">
          <w:rPr>
            <w:rFonts w:eastAsia="楷体_GB2312"/>
            <w:bCs/>
            <w:sz w:val="32"/>
            <w:szCs w:val="32"/>
          </w:rPr>
          <w:t>（七）政府性基金预算财政拨款支出决算总体情况说明</w:t>
        </w:r>
        <w:r w:rsidR="00BE3E8C">
          <w:rPr>
            <w:bCs/>
            <w:sz w:val="32"/>
            <w:szCs w:val="32"/>
          </w:rPr>
          <w:tab/>
        </w:r>
        <w:r w:rsidR="00BE3E8C">
          <w:rPr>
            <w:bCs/>
            <w:sz w:val="32"/>
            <w:szCs w:val="32"/>
          </w:rPr>
          <w:fldChar w:fldCharType="begin" w:fldLock="1"/>
        </w:r>
        <w:r w:rsidR="00BE3E8C">
          <w:rPr>
            <w:bCs/>
            <w:sz w:val="32"/>
            <w:szCs w:val="32"/>
          </w:rPr>
          <w:instrText xml:space="preserve"> PAGEREF _Toc11563 </w:instrText>
        </w:r>
        <w:r w:rsidR="00BE3E8C">
          <w:rPr>
            <w:bCs/>
            <w:sz w:val="32"/>
            <w:szCs w:val="32"/>
          </w:rPr>
          <w:fldChar w:fldCharType="separate"/>
        </w:r>
        <w:r w:rsidR="00696A71">
          <w:rPr>
            <w:bCs/>
            <w:noProof/>
            <w:sz w:val="32"/>
            <w:szCs w:val="32"/>
          </w:rPr>
          <w:t xml:space="preserve"> 6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2821" w:history="1">
        <w:r w:rsidR="00BE3E8C">
          <w:rPr>
            <w:rFonts w:eastAsia="楷体_GB2312"/>
            <w:bCs/>
            <w:sz w:val="32"/>
            <w:szCs w:val="32"/>
          </w:rPr>
          <w:t>（八）国有资本经营预算财政拨款支出决算总体情况说明</w:t>
        </w:r>
        <w:r w:rsidR="00BE3E8C">
          <w:rPr>
            <w:bCs/>
            <w:sz w:val="32"/>
            <w:szCs w:val="32"/>
          </w:rPr>
          <w:tab/>
        </w:r>
        <w:r w:rsidR="00BE3E8C">
          <w:rPr>
            <w:bCs/>
            <w:sz w:val="32"/>
            <w:szCs w:val="32"/>
          </w:rPr>
          <w:fldChar w:fldCharType="begin" w:fldLock="1"/>
        </w:r>
        <w:r w:rsidR="00BE3E8C">
          <w:rPr>
            <w:bCs/>
            <w:sz w:val="32"/>
            <w:szCs w:val="32"/>
          </w:rPr>
          <w:instrText xml:space="preserve"> PAGEREF _Toc2821 </w:instrText>
        </w:r>
        <w:r w:rsidR="00BE3E8C">
          <w:rPr>
            <w:bCs/>
            <w:sz w:val="32"/>
            <w:szCs w:val="32"/>
          </w:rPr>
          <w:fldChar w:fldCharType="separate"/>
        </w:r>
        <w:r w:rsidR="00696A71">
          <w:rPr>
            <w:bCs/>
            <w:noProof/>
            <w:sz w:val="32"/>
            <w:szCs w:val="32"/>
          </w:rPr>
          <w:t xml:space="preserve"> 6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6694" w:history="1">
        <w:r w:rsidR="00BE3E8C">
          <w:rPr>
            <w:rFonts w:eastAsia="楷体_GB2312"/>
            <w:bCs/>
            <w:sz w:val="32"/>
            <w:szCs w:val="32"/>
          </w:rPr>
          <w:t>（九）</w:t>
        </w:r>
        <w:r w:rsidR="00BE3E8C">
          <w:rPr>
            <w:rFonts w:eastAsia="楷体_GB2312"/>
            <w:bCs/>
            <w:w w:val="97"/>
            <w:sz w:val="32"/>
            <w:szCs w:val="32"/>
          </w:rPr>
          <w:t>一般公共预算财政拨款</w:t>
        </w:r>
        <w:r w:rsidR="00BE3E8C">
          <w:rPr>
            <w:rFonts w:eastAsia="楷体_GB2312"/>
            <w:bCs/>
            <w:w w:val="97"/>
            <w:sz w:val="32"/>
            <w:szCs w:val="32"/>
          </w:rPr>
          <w:t>“</w:t>
        </w:r>
        <w:r w:rsidR="00BE3E8C">
          <w:rPr>
            <w:rFonts w:eastAsia="楷体_GB2312"/>
            <w:bCs/>
            <w:w w:val="97"/>
            <w:sz w:val="32"/>
            <w:szCs w:val="32"/>
          </w:rPr>
          <w:t>三公</w:t>
        </w:r>
        <w:r w:rsidR="00BE3E8C">
          <w:rPr>
            <w:rFonts w:eastAsia="楷体_GB2312"/>
            <w:bCs/>
            <w:w w:val="97"/>
            <w:sz w:val="32"/>
            <w:szCs w:val="32"/>
          </w:rPr>
          <w:t>”</w:t>
        </w:r>
        <w:r w:rsidR="00BE3E8C">
          <w:rPr>
            <w:rFonts w:eastAsia="楷体_GB2312"/>
            <w:bCs/>
            <w:w w:val="97"/>
            <w:sz w:val="32"/>
            <w:szCs w:val="32"/>
          </w:rPr>
          <w:t>经费支出决算情况说</w:t>
        </w:r>
        <w:r w:rsidR="00BE3E8C">
          <w:rPr>
            <w:rFonts w:eastAsia="楷体_GB2312" w:hint="eastAsia"/>
            <w:bCs/>
            <w:w w:val="97"/>
            <w:sz w:val="32"/>
            <w:szCs w:val="32"/>
          </w:rPr>
          <w:t>明</w:t>
        </w:r>
        <w:r w:rsidR="00BE3E8C">
          <w:rPr>
            <w:bCs/>
            <w:sz w:val="32"/>
            <w:szCs w:val="32"/>
          </w:rPr>
          <w:tab/>
        </w:r>
        <w:r w:rsidR="00BE3E8C">
          <w:rPr>
            <w:bCs/>
            <w:sz w:val="32"/>
            <w:szCs w:val="32"/>
          </w:rPr>
          <w:fldChar w:fldCharType="begin" w:fldLock="1"/>
        </w:r>
        <w:r w:rsidR="00BE3E8C">
          <w:rPr>
            <w:bCs/>
            <w:sz w:val="32"/>
            <w:szCs w:val="32"/>
          </w:rPr>
          <w:instrText xml:space="preserve"> PAGEREF _Toc6694 </w:instrText>
        </w:r>
        <w:r w:rsidR="00BE3E8C">
          <w:rPr>
            <w:bCs/>
            <w:sz w:val="32"/>
            <w:szCs w:val="32"/>
          </w:rPr>
          <w:fldChar w:fldCharType="separate"/>
        </w:r>
        <w:r w:rsidR="00696A71">
          <w:rPr>
            <w:bCs/>
            <w:noProof/>
            <w:sz w:val="32"/>
            <w:szCs w:val="32"/>
          </w:rPr>
          <w:t xml:space="preserve"> 6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3563" w:history="1">
        <w:r w:rsidR="00BE3E8C">
          <w:rPr>
            <w:rFonts w:eastAsia="楷体_GB2312"/>
            <w:bCs/>
            <w:sz w:val="32"/>
            <w:szCs w:val="32"/>
          </w:rPr>
          <w:t>（十）机关运行经费支出说明</w:t>
        </w:r>
        <w:r w:rsidR="00BE3E8C">
          <w:rPr>
            <w:bCs/>
            <w:sz w:val="32"/>
            <w:szCs w:val="32"/>
          </w:rPr>
          <w:tab/>
        </w:r>
        <w:r w:rsidR="00BE3E8C">
          <w:rPr>
            <w:bCs/>
            <w:sz w:val="32"/>
            <w:szCs w:val="32"/>
          </w:rPr>
          <w:fldChar w:fldCharType="begin" w:fldLock="1"/>
        </w:r>
        <w:r w:rsidR="00BE3E8C">
          <w:rPr>
            <w:bCs/>
            <w:sz w:val="32"/>
            <w:szCs w:val="32"/>
          </w:rPr>
          <w:instrText xml:space="preserve"> PAGEREF _Toc3563 </w:instrText>
        </w:r>
        <w:r w:rsidR="00BE3E8C">
          <w:rPr>
            <w:bCs/>
            <w:sz w:val="32"/>
            <w:szCs w:val="32"/>
          </w:rPr>
          <w:fldChar w:fldCharType="separate"/>
        </w:r>
        <w:r w:rsidR="00696A71">
          <w:rPr>
            <w:bCs/>
            <w:noProof/>
            <w:sz w:val="32"/>
            <w:szCs w:val="32"/>
          </w:rPr>
          <w:t xml:space="preserve"> 8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15760" w:history="1">
        <w:r w:rsidR="00BE3E8C">
          <w:rPr>
            <w:rFonts w:eastAsia="楷体_GB2312"/>
            <w:bCs/>
            <w:sz w:val="32"/>
            <w:szCs w:val="32"/>
          </w:rPr>
          <w:t>（十一）政府采购支出说明</w:t>
        </w:r>
        <w:r w:rsidR="00BE3E8C">
          <w:rPr>
            <w:bCs/>
            <w:sz w:val="32"/>
            <w:szCs w:val="32"/>
          </w:rPr>
          <w:tab/>
        </w:r>
        <w:r w:rsidR="00BE3E8C">
          <w:rPr>
            <w:bCs/>
            <w:sz w:val="32"/>
            <w:szCs w:val="32"/>
          </w:rPr>
          <w:fldChar w:fldCharType="begin" w:fldLock="1"/>
        </w:r>
        <w:r w:rsidR="00BE3E8C">
          <w:rPr>
            <w:bCs/>
            <w:sz w:val="32"/>
            <w:szCs w:val="32"/>
          </w:rPr>
          <w:instrText xml:space="preserve"> PAGEREF _Toc15760 </w:instrText>
        </w:r>
        <w:r w:rsidR="00BE3E8C">
          <w:rPr>
            <w:bCs/>
            <w:sz w:val="32"/>
            <w:szCs w:val="32"/>
          </w:rPr>
          <w:fldChar w:fldCharType="separate"/>
        </w:r>
        <w:r w:rsidR="00696A71">
          <w:rPr>
            <w:bCs/>
            <w:noProof/>
            <w:sz w:val="32"/>
            <w:szCs w:val="32"/>
          </w:rPr>
          <w:t xml:space="preserve"> 8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rFonts w:eastAsia="方正小标宋简体"/>
          <w:bCs/>
          <w:sz w:val="32"/>
          <w:szCs w:val="32"/>
        </w:rPr>
      </w:pPr>
      <w:hyperlink w:anchor="_Toc625" w:history="1">
        <w:r w:rsidR="00BE3E8C">
          <w:rPr>
            <w:rFonts w:eastAsia="楷体_GB2312"/>
            <w:bCs/>
            <w:sz w:val="32"/>
            <w:szCs w:val="32"/>
          </w:rPr>
          <w:t>（十二）国有资产占有情况说明</w:t>
        </w:r>
        <w:r w:rsidR="00BE3E8C">
          <w:rPr>
            <w:bCs/>
            <w:sz w:val="32"/>
            <w:szCs w:val="32"/>
          </w:rPr>
          <w:tab/>
        </w:r>
        <w:r w:rsidR="00BE3E8C">
          <w:rPr>
            <w:bCs/>
            <w:sz w:val="32"/>
            <w:szCs w:val="32"/>
          </w:rPr>
          <w:fldChar w:fldCharType="begin" w:fldLock="1"/>
        </w:r>
        <w:r w:rsidR="00BE3E8C">
          <w:rPr>
            <w:bCs/>
            <w:sz w:val="32"/>
            <w:szCs w:val="32"/>
          </w:rPr>
          <w:instrText xml:space="preserve"> PAGEREF _Toc625 </w:instrText>
        </w:r>
        <w:r w:rsidR="00BE3E8C">
          <w:rPr>
            <w:bCs/>
            <w:sz w:val="32"/>
            <w:szCs w:val="32"/>
          </w:rPr>
          <w:fldChar w:fldCharType="separate"/>
        </w:r>
        <w:r w:rsidR="00696A71">
          <w:rPr>
            <w:bCs/>
            <w:noProof/>
            <w:sz w:val="32"/>
            <w:szCs w:val="32"/>
          </w:rPr>
          <w:t xml:space="preserve"> 8 </w:t>
        </w:r>
        <w:r w:rsidR="00BE3E8C">
          <w:rPr>
            <w:bCs/>
            <w:sz w:val="32"/>
            <w:szCs w:val="32"/>
          </w:rPr>
          <w:fldChar w:fldCharType="end"/>
        </w:r>
      </w:hyperlink>
    </w:p>
    <w:p w:rsidR="009555FD" w:rsidRDefault="00BD7B07" w:rsidP="00696A71">
      <w:pPr>
        <w:pStyle w:val="WPSOffice2"/>
        <w:tabs>
          <w:tab w:val="right" w:leader="dot" w:pos="8854"/>
        </w:tabs>
        <w:spacing w:line="560" w:lineRule="exact"/>
        <w:ind w:left="480"/>
        <w:rPr>
          <w:bCs/>
          <w:sz w:val="32"/>
          <w:szCs w:val="32"/>
        </w:rPr>
      </w:pPr>
      <w:hyperlink w:anchor="_Toc6735" w:history="1">
        <w:r w:rsidR="00BE3E8C">
          <w:rPr>
            <w:rFonts w:eastAsia="楷体_GB2312"/>
            <w:bCs/>
            <w:sz w:val="32"/>
            <w:szCs w:val="32"/>
          </w:rPr>
          <w:t>（十三）预算绩效情况说明</w:t>
        </w:r>
        <w:r w:rsidR="00BE3E8C">
          <w:rPr>
            <w:bCs/>
            <w:sz w:val="32"/>
            <w:szCs w:val="32"/>
          </w:rPr>
          <w:tab/>
        </w:r>
        <w:r w:rsidR="00BE3E8C">
          <w:rPr>
            <w:bCs/>
            <w:sz w:val="32"/>
            <w:szCs w:val="32"/>
          </w:rPr>
          <w:fldChar w:fldCharType="begin" w:fldLock="1"/>
        </w:r>
        <w:r w:rsidR="00BE3E8C">
          <w:rPr>
            <w:bCs/>
            <w:sz w:val="32"/>
            <w:szCs w:val="32"/>
          </w:rPr>
          <w:instrText xml:space="preserve"> PAGEREF _Toc6735 </w:instrText>
        </w:r>
        <w:r w:rsidR="00BE3E8C">
          <w:rPr>
            <w:bCs/>
            <w:sz w:val="32"/>
            <w:szCs w:val="32"/>
          </w:rPr>
          <w:fldChar w:fldCharType="separate"/>
        </w:r>
        <w:r w:rsidR="00696A71">
          <w:rPr>
            <w:bCs/>
            <w:noProof/>
            <w:sz w:val="32"/>
            <w:szCs w:val="32"/>
          </w:rPr>
          <w:t xml:space="preserve"> 8 </w:t>
        </w:r>
        <w:r w:rsidR="00BE3E8C">
          <w:rPr>
            <w:bCs/>
            <w:sz w:val="32"/>
            <w:szCs w:val="32"/>
          </w:rPr>
          <w:fldChar w:fldCharType="end"/>
        </w:r>
      </w:hyperlink>
    </w:p>
    <w:p w:rsidR="009555FD" w:rsidRDefault="00BD7B07">
      <w:pPr>
        <w:pStyle w:val="WPSOffice1"/>
        <w:tabs>
          <w:tab w:val="right" w:leader="dot" w:pos="8854"/>
        </w:tabs>
        <w:spacing w:line="560" w:lineRule="exact"/>
        <w:rPr>
          <w:b/>
          <w:sz w:val="32"/>
          <w:szCs w:val="32"/>
        </w:rPr>
      </w:pPr>
      <w:hyperlink w:anchor="_Toc14692" w:history="1">
        <w:r w:rsidR="00BE3E8C">
          <w:rPr>
            <w:rFonts w:eastAsia="黑体"/>
            <w:bCs/>
            <w:sz w:val="32"/>
            <w:szCs w:val="32"/>
          </w:rPr>
          <w:t>四、名词解释</w:t>
        </w:r>
        <w:r w:rsidR="00BE3E8C">
          <w:rPr>
            <w:bCs/>
            <w:sz w:val="32"/>
            <w:szCs w:val="32"/>
          </w:rPr>
          <w:tab/>
        </w:r>
        <w:r w:rsidR="00BE3E8C">
          <w:rPr>
            <w:bCs/>
            <w:sz w:val="32"/>
            <w:szCs w:val="32"/>
          </w:rPr>
          <w:fldChar w:fldCharType="begin" w:fldLock="1"/>
        </w:r>
        <w:r w:rsidR="00BE3E8C">
          <w:rPr>
            <w:bCs/>
            <w:sz w:val="32"/>
            <w:szCs w:val="32"/>
          </w:rPr>
          <w:instrText xml:space="preserve"> PAGEREF _Toc14692 </w:instrText>
        </w:r>
        <w:r w:rsidR="00BE3E8C">
          <w:rPr>
            <w:bCs/>
            <w:sz w:val="32"/>
            <w:szCs w:val="32"/>
          </w:rPr>
          <w:fldChar w:fldCharType="separate"/>
        </w:r>
        <w:r w:rsidR="00696A71">
          <w:rPr>
            <w:bCs/>
            <w:noProof/>
            <w:sz w:val="32"/>
            <w:szCs w:val="32"/>
          </w:rPr>
          <w:t xml:space="preserve"> 11 </w:t>
        </w:r>
        <w:r w:rsidR="00BE3E8C">
          <w:rPr>
            <w:bCs/>
            <w:sz w:val="32"/>
            <w:szCs w:val="32"/>
          </w:rPr>
          <w:fldChar w:fldCharType="end"/>
        </w:r>
      </w:hyperlink>
    </w:p>
    <w:p w:rsidR="009555FD" w:rsidRDefault="00BE3E8C">
      <w:pPr>
        <w:pStyle w:val="Char"/>
        <w:autoSpaceDE w:val="0"/>
        <w:spacing w:line="600" w:lineRule="exact"/>
        <w:jc w:val="center"/>
        <w:rPr>
          <w:rStyle w:val="21"/>
          <w:rFonts w:eastAsia="方正小标宋简体" w:hint="eastAsia"/>
          <w:b w:val="0"/>
          <w:sz w:val="44"/>
          <w:szCs w:val="44"/>
        </w:rPr>
        <w:sectPr w:rsidR="009555FD">
          <w:pgSz w:w="11915" w:h="16851"/>
          <w:pgMar w:top="2098" w:right="1474" w:bottom="1984" w:left="1587" w:header="851" w:footer="992" w:gutter="0"/>
          <w:pgNumType w:fmt="numberInDash" w:start="1"/>
          <w:cols w:space="720"/>
          <w:docGrid w:type="lines" w:linePitch="312"/>
        </w:sectPr>
      </w:pPr>
      <w:r>
        <w:rPr>
          <w:rFonts w:ascii="Times New Roman" w:eastAsia="方正小标宋简体" w:hAnsi="Times New Roman" w:hint="default"/>
          <w:b/>
          <w:sz w:val="32"/>
          <w:szCs w:val="32"/>
        </w:rPr>
        <w:fldChar w:fldCharType="end"/>
      </w:r>
    </w:p>
    <w:p w:rsidR="009555FD" w:rsidRDefault="00BE3E8C">
      <w:pPr>
        <w:spacing w:line="560" w:lineRule="exact"/>
        <w:ind w:firstLineChars="200" w:firstLine="640"/>
        <w:outlineLvl w:val="0"/>
        <w:rPr>
          <w:rFonts w:ascii="Times New Roman" w:eastAsia="黑体" w:hAnsi="Times New Roman" w:hint="default"/>
          <w:color w:val="000000"/>
          <w:sz w:val="32"/>
          <w:szCs w:val="32"/>
        </w:rPr>
      </w:pPr>
      <w:bookmarkStart w:id="0" w:name="_Toc17560"/>
      <w:r>
        <w:rPr>
          <w:rStyle w:val="20"/>
          <w:rFonts w:eastAsia="黑体" w:hint="eastAsia"/>
          <w:b w:val="0"/>
          <w:color w:val="000000"/>
          <w:sz w:val="32"/>
          <w:szCs w:val="32"/>
        </w:rPr>
        <w:lastRenderedPageBreak/>
        <w:t>一、</w:t>
      </w:r>
      <w:r>
        <w:rPr>
          <w:rFonts w:ascii="Times New Roman" w:eastAsia="黑体" w:hAnsi="Times New Roman" w:hint="default"/>
          <w:sz w:val="32"/>
          <w:szCs w:val="32"/>
        </w:rPr>
        <w:t>中心</w:t>
      </w:r>
      <w:r>
        <w:rPr>
          <w:rStyle w:val="20"/>
          <w:rFonts w:eastAsia="黑体" w:hint="eastAsia"/>
          <w:b w:val="0"/>
          <w:color w:val="000000"/>
          <w:sz w:val="32"/>
          <w:szCs w:val="32"/>
        </w:rPr>
        <w:t>概况</w:t>
      </w:r>
      <w:bookmarkEnd w:id="0"/>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 w:name="_Toc32710"/>
      <w:r>
        <w:rPr>
          <w:rFonts w:ascii="Times New Roman" w:eastAsia="楷体_GB2312" w:hAnsi="Times New Roman" w:hint="default"/>
          <w:sz w:val="32"/>
          <w:szCs w:val="32"/>
        </w:rPr>
        <w:t>（一）单位职责</w:t>
      </w:r>
      <w:bookmarkEnd w:id="1"/>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1.负责提供退役军人就业创业服务和政策咨询，协助开展职业教育和技能培训，承办省级退役军人招聘会、推介会、就业论坛等，搭建全省就业创业、困难退役军人军属帮扶援助平台。</w:t>
      </w:r>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2.协助开展退役军人、其他优抚对象信访工作及涉退役军人舆情收集、引导。</w:t>
      </w:r>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3.协助开展退役军人和其他优抚对象困难帮扶、权益咨询、心理疏导、法律服务等工作。</w:t>
      </w:r>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4.协助制定全省退役军人事务系统信息化发展规划并组织实施，协助开展全省退役军人和其他优抚对象信息采集数据总库的建设和管理。</w:t>
      </w:r>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5.协助开展军属、烈属、伤病残退役军人等有关群体的服务工作。协助“光荣之家”牌匾悬挂等工作。</w:t>
      </w:r>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6.协助开展拥军优属、拥政爱民日常事务性工作。</w:t>
      </w:r>
    </w:p>
    <w:p w:rsidR="009555FD" w:rsidRDefault="00BE3E8C">
      <w:pPr>
        <w:widowControl w:val="0"/>
        <w:spacing w:line="560" w:lineRule="exact"/>
        <w:ind w:firstLineChars="200" w:firstLine="640"/>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t>7.指导全省退役军人服务中心业务和退役军人党员教育管理服务工作。</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仿宋_GB2312" w:eastAsia="仿宋_GB2312" w:hAnsi="仿宋_GB2312" w:cs="仿宋_GB2312"/>
          <w:sz w:val="32"/>
          <w:szCs w:val="32"/>
        </w:rPr>
        <w:t>8.完成浙江省退役军人事务厅交办的其他任务。</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2" w:name="_Toc8254"/>
      <w:r>
        <w:rPr>
          <w:rFonts w:ascii="Times New Roman" w:eastAsia="楷体_GB2312" w:hAnsi="Times New Roman" w:hint="default"/>
          <w:sz w:val="32"/>
          <w:szCs w:val="32"/>
        </w:rPr>
        <w:t>（二）机构设置</w:t>
      </w:r>
      <w:bookmarkEnd w:id="2"/>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浙江省退役军人服务中心是隶属于浙江省退役军人事务厅的公益一类事业单位，是纳入浙江省退役军人事务厅</w:t>
      </w:r>
      <w:r>
        <w:rPr>
          <w:rFonts w:ascii="Times New Roman" w:eastAsia="仿宋_GB2312" w:hAnsi="Times New Roman" w:hint="default"/>
          <w:sz w:val="32"/>
          <w:szCs w:val="32"/>
        </w:rPr>
        <w:t>2020</w:t>
      </w:r>
      <w:r>
        <w:rPr>
          <w:rFonts w:ascii="Times New Roman" w:eastAsia="仿宋_GB2312" w:hAnsi="Times New Roman" w:hint="default"/>
          <w:sz w:val="32"/>
          <w:szCs w:val="32"/>
        </w:rPr>
        <w:t>年度</w:t>
      </w:r>
      <w:r>
        <w:rPr>
          <w:rFonts w:ascii="Times New Roman" w:eastAsia="仿宋_GB2312" w:hAnsi="Times New Roman" w:hint="default"/>
          <w:sz w:val="32"/>
          <w:szCs w:val="32"/>
        </w:rPr>
        <w:lastRenderedPageBreak/>
        <w:t>部门决算编制范围的二级预算单位。</w:t>
      </w:r>
      <w:r>
        <w:rPr>
          <w:rFonts w:ascii="Times New Roman" w:eastAsia="仿宋_GB2312" w:hAnsi="Times New Roman" w:hint="default"/>
          <w:sz w:val="32"/>
          <w:szCs w:val="32"/>
        </w:rPr>
        <w:t xml:space="preserve"> </w:t>
      </w:r>
      <w:r>
        <w:rPr>
          <w:rFonts w:ascii="Times New Roman" w:eastAsia="仿宋_GB2312" w:hAnsi="Times New Roman" w:hint="default"/>
          <w:sz w:val="32"/>
          <w:szCs w:val="32"/>
        </w:rPr>
        <w:t>内设科室为：办公室、思想政治工作服务科、权益维护保障科、综合业务科、双拥服务科、信息化建设科。</w:t>
      </w:r>
    </w:p>
    <w:p w:rsidR="009555FD" w:rsidRDefault="00BE3E8C">
      <w:pPr>
        <w:spacing w:line="560" w:lineRule="exact"/>
        <w:ind w:firstLineChars="200" w:firstLine="640"/>
        <w:jc w:val="both"/>
        <w:outlineLvl w:val="0"/>
        <w:rPr>
          <w:rFonts w:ascii="黑体" w:eastAsia="黑体" w:hAnsi="黑体" w:cs="黑体" w:hint="default"/>
          <w:sz w:val="32"/>
          <w:szCs w:val="32"/>
        </w:rPr>
      </w:pPr>
      <w:bookmarkStart w:id="3" w:name="_Toc20029"/>
      <w:r>
        <w:rPr>
          <w:rStyle w:val="17"/>
          <w:rFonts w:ascii="黑体" w:eastAsia="黑体" w:hAnsi="黑体" w:cs="黑体" w:hint="eastAsia"/>
          <w:b w:val="0"/>
          <w:sz w:val="32"/>
          <w:szCs w:val="32"/>
        </w:rPr>
        <w:t>二、2020年度单位决算公开表</w:t>
      </w:r>
      <w:bookmarkEnd w:id="3"/>
    </w:p>
    <w:p w:rsidR="009555FD" w:rsidRDefault="00BE3E8C">
      <w:pPr>
        <w:spacing w:line="560" w:lineRule="exact"/>
        <w:ind w:firstLineChars="200" w:firstLine="640"/>
        <w:jc w:val="both"/>
        <w:rPr>
          <w:rFonts w:ascii="Times New Roman" w:hAnsi="Times New Roman" w:hint="default"/>
          <w:sz w:val="32"/>
          <w:szCs w:val="32"/>
        </w:rPr>
      </w:pPr>
      <w:r>
        <w:rPr>
          <w:rFonts w:ascii="Times New Roman" w:eastAsia="仿宋" w:hAnsi="Times New Roman" w:hint="default"/>
          <w:sz w:val="32"/>
          <w:szCs w:val="32"/>
        </w:rPr>
        <w:t>详见附表。</w:t>
      </w:r>
    </w:p>
    <w:p w:rsidR="009555FD" w:rsidRDefault="00BE3E8C">
      <w:pPr>
        <w:spacing w:line="560" w:lineRule="exact"/>
        <w:ind w:firstLineChars="200" w:firstLine="640"/>
        <w:jc w:val="both"/>
        <w:outlineLvl w:val="0"/>
        <w:rPr>
          <w:rFonts w:ascii="黑体" w:eastAsia="黑体" w:hAnsi="黑体" w:cs="黑体" w:hint="default"/>
          <w:sz w:val="32"/>
          <w:szCs w:val="32"/>
        </w:rPr>
      </w:pPr>
      <w:bookmarkStart w:id="4" w:name="_Toc17849"/>
      <w:r>
        <w:rPr>
          <w:rStyle w:val="17"/>
          <w:rFonts w:ascii="黑体" w:eastAsia="黑体" w:hAnsi="黑体" w:cs="黑体" w:hint="eastAsia"/>
          <w:b w:val="0"/>
          <w:sz w:val="32"/>
          <w:szCs w:val="32"/>
        </w:rPr>
        <w:t>三、2020年度单位决算情况说明</w:t>
      </w:r>
      <w:bookmarkEnd w:id="4"/>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5" w:name="_Toc3023"/>
      <w:r>
        <w:rPr>
          <w:rFonts w:ascii="Times New Roman" w:eastAsia="楷体_GB2312" w:hAnsi="Times New Roman" w:hint="default"/>
          <w:sz w:val="32"/>
          <w:szCs w:val="32"/>
        </w:rPr>
        <w:t>（一）收入支出决算总体情况说明</w:t>
      </w:r>
      <w:bookmarkEnd w:id="5"/>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年度收入总计</w:t>
      </w:r>
      <w:r>
        <w:rPr>
          <w:rFonts w:ascii="Times New Roman" w:eastAsia="仿宋_GB2312" w:hAnsi="Times New Roman" w:hint="default"/>
          <w:sz w:val="32"/>
          <w:szCs w:val="32"/>
        </w:rPr>
        <w:t>519.13</w:t>
      </w:r>
      <w:r>
        <w:rPr>
          <w:rFonts w:ascii="Times New Roman" w:eastAsia="仿宋_GB2312" w:hAnsi="Times New Roman" w:hint="default"/>
          <w:sz w:val="32"/>
          <w:szCs w:val="32"/>
        </w:rPr>
        <w:t>万元，支出总计</w:t>
      </w:r>
      <w:r>
        <w:rPr>
          <w:rFonts w:ascii="Times New Roman" w:eastAsia="仿宋_GB2312" w:hAnsi="Times New Roman" w:hint="default"/>
          <w:sz w:val="32"/>
          <w:szCs w:val="32"/>
        </w:rPr>
        <w:t>519.13</w:t>
      </w:r>
      <w:r>
        <w:rPr>
          <w:rFonts w:ascii="Times New Roman" w:eastAsia="仿宋_GB2312" w:hAnsi="Times New Roman" w:hint="default"/>
          <w:sz w:val="32"/>
          <w:szCs w:val="32"/>
        </w:rPr>
        <w:t>万元</w:t>
      </w:r>
      <w:r>
        <w:rPr>
          <w:rFonts w:ascii="Times New Roman" w:eastAsia="仿宋_GB2312" w:hAnsi="Times New Roman" w:hint="default"/>
          <w:sz w:val="32"/>
          <w:szCs w:val="32"/>
        </w:rPr>
        <w:t>,</w:t>
      </w:r>
      <w:r>
        <w:rPr>
          <w:rFonts w:ascii="Times New Roman" w:eastAsia="仿宋_GB2312" w:hAnsi="Times New Roman" w:hint="default"/>
          <w:sz w:val="32"/>
          <w:szCs w:val="32"/>
        </w:rPr>
        <w:t>与</w:t>
      </w:r>
      <w:r>
        <w:rPr>
          <w:rFonts w:ascii="Times New Roman" w:eastAsia="仿宋_GB2312" w:hAnsi="Times New Roman" w:hint="default"/>
          <w:sz w:val="32"/>
          <w:szCs w:val="32"/>
        </w:rPr>
        <w:t>2019</w:t>
      </w:r>
      <w:r>
        <w:rPr>
          <w:rFonts w:ascii="Times New Roman" w:eastAsia="仿宋_GB2312" w:hAnsi="Times New Roman" w:hint="default"/>
          <w:sz w:val="32"/>
          <w:szCs w:val="32"/>
        </w:rPr>
        <w:t>年度相比，各增加</w:t>
      </w:r>
      <w:r>
        <w:rPr>
          <w:rFonts w:ascii="Times New Roman" w:eastAsia="仿宋_GB2312" w:hAnsi="Times New Roman" w:hint="default"/>
          <w:sz w:val="32"/>
          <w:szCs w:val="32"/>
        </w:rPr>
        <w:t>200.64</w:t>
      </w:r>
      <w:r>
        <w:rPr>
          <w:rFonts w:ascii="Times New Roman" w:eastAsia="仿宋_GB2312" w:hAnsi="Times New Roman" w:hint="default"/>
          <w:sz w:val="32"/>
          <w:szCs w:val="32"/>
        </w:rPr>
        <w:t>万元，增长</w:t>
      </w:r>
      <w:r>
        <w:rPr>
          <w:rFonts w:ascii="Times New Roman" w:eastAsia="仿宋_GB2312" w:hAnsi="Times New Roman" w:hint="default"/>
          <w:sz w:val="32"/>
          <w:szCs w:val="32"/>
        </w:rPr>
        <w:t>63.00%</w:t>
      </w:r>
      <w:r>
        <w:rPr>
          <w:rFonts w:ascii="Times New Roman" w:eastAsia="仿宋_GB2312" w:hAnsi="Times New Roman" w:hint="default"/>
          <w:sz w:val="32"/>
          <w:szCs w:val="32"/>
        </w:rPr>
        <w:t>。</w:t>
      </w:r>
      <w:r>
        <w:rPr>
          <w:rFonts w:ascii="Times New Roman" w:eastAsia="仿宋_GB2312" w:hAnsi="Times New Roman"/>
          <w:sz w:val="32"/>
          <w:szCs w:val="32"/>
        </w:rPr>
        <w:t>增长的</w:t>
      </w:r>
      <w:r>
        <w:rPr>
          <w:rFonts w:ascii="Times New Roman" w:eastAsia="仿宋_GB2312" w:hAnsi="Times New Roman" w:hint="default"/>
          <w:sz w:val="32"/>
          <w:szCs w:val="32"/>
        </w:rPr>
        <w:t>主要原因是</w:t>
      </w:r>
      <w:r>
        <w:rPr>
          <w:rFonts w:ascii="Times New Roman" w:eastAsia="仿宋_GB2312" w:hAnsi="Times New Roman"/>
          <w:sz w:val="32"/>
          <w:szCs w:val="32"/>
        </w:rPr>
        <w:t>，</w:t>
      </w:r>
      <w:r>
        <w:rPr>
          <w:rFonts w:ascii="Times New Roman" w:eastAsia="仿宋_GB2312" w:hAnsi="Times New Roman" w:hint="default"/>
          <w:sz w:val="32"/>
          <w:szCs w:val="32"/>
        </w:rPr>
        <w:t>浙江省退役军人服务中心是</w:t>
      </w:r>
      <w:r>
        <w:rPr>
          <w:rFonts w:ascii="Times New Roman" w:eastAsia="仿宋_GB2312" w:hAnsi="Times New Roman" w:hint="default"/>
          <w:sz w:val="32"/>
          <w:szCs w:val="32"/>
        </w:rPr>
        <w:t>2019</w:t>
      </w:r>
      <w:r>
        <w:rPr>
          <w:rFonts w:ascii="Times New Roman" w:eastAsia="仿宋_GB2312" w:hAnsi="Times New Roman" w:hint="default"/>
          <w:sz w:val="32"/>
          <w:szCs w:val="32"/>
        </w:rPr>
        <w:t>年</w:t>
      </w:r>
      <w:r>
        <w:rPr>
          <w:rFonts w:ascii="Times New Roman" w:eastAsia="仿宋_GB2312" w:hAnsi="Times New Roman"/>
          <w:sz w:val="32"/>
          <w:szCs w:val="32"/>
        </w:rPr>
        <w:t>3</w:t>
      </w:r>
      <w:r>
        <w:rPr>
          <w:rFonts w:ascii="Times New Roman" w:eastAsia="仿宋_GB2312" w:hAnsi="Times New Roman" w:hint="default"/>
          <w:sz w:val="32"/>
          <w:szCs w:val="32"/>
        </w:rPr>
        <w:t>月新成立的事业单位，</w:t>
      </w:r>
      <w:r>
        <w:rPr>
          <w:rFonts w:ascii="Times New Roman" w:eastAsia="仿宋_GB2312" w:hAnsi="Times New Roman"/>
          <w:sz w:val="32"/>
          <w:szCs w:val="32"/>
        </w:rPr>
        <w:t>人员</w:t>
      </w:r>
      <w:r>
        <w:rPr>
          <w:rFonts w:ascii="Times New Roman" w:eastAsia="仿宋_GB2312" w:hAnsi="Times New Roman" w:hint="default"/>
          <w:sz w:val="32"/>
          <w:szCs w:val="32"/>
        </w:rPr>
        <w:t>陆续增加</w:t>
      </w:r>
      <w:r>
        <w:rPr>
          <w:rFonts w:ascii="Times New Roman" w:eastAsia="仿宋_GB2312" w:hAnsi="Times New Roman"/>
          <w:sz w:val="32"/>
          <w:szCs w:val="32"/>
        </w:rPr>
        <w:t>，人员经费</w:t>
      </w:r>
      <w:r>
        <w:rPr>
          <w:rFonts w:ascii="Times New Roman" w:eastAsia="仿宋_GB2312" w:hAnsi="Times New Roman" w:hint="default"/>
          <w:sz w:val="32"/>
          <w:szCs w:val="32"/>
        </w:rPr>
        <w:t>收入、支出</w:t>
      </w:r>
      <w:r>
        <w:rPr>
          <w:rFonts w:ascii="Times New Roman" w:eastAsia="仿宋_GB2312" w:hAnsi="Times New Roman"/>
          <w:sz w:val="32"/>
          <w:szCs w:val="32"/>
        </w:rPr>
        <w:t>也相应</w:t>
      </w:r>
      <w:r>
        <w:rPr>
          <w:rFonts w:ascii="Times New Roman" w:eastAsia="仿宋_GB2312" w:hAnsi="Times New Roman" w:hint="default"/>
          <w:sz w:val="32"/>
          <w:szCs w:val="32"/>
        </w:rPr>
        <w:t>增加。。</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6" w:name="_Toc24863"/>
      <w:r>
        <w:rPr>
          <w:rFonts w:ascii="Times New Roman" w:eastAsia="楷体_GB2312" w:hAnsi="Times New Roman" w:hint="default"/>
          <w:sz w:val="32"/>
          <w:szCs w:val="32"/>
        </w:rPr>
        <w:t>（二）收入决算情况说明</w:t>
      </w:r>
      <w:bookmarkEnd w:id="6"/>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本年收入合计</w:t>
      </w:r>
      <w:r>
        <w:rPr>
          <w:rFonts w:ascii="Times New Roman" w:eastAsia="仿宋_GB2312" w:hAnsi="Times New Roman" w:hint="default"/>
          <w:sz w:val="32"/>
          <w:szCs w:val="32"/>
        </w:rPr>
        <w:t>417.92</w:t>
      </w:r>
      <w:r>
        <w:rPr>
          <w:rFonts w:ascii="Times New Roman" w:eastAsia="仿宋_GB2312" w:hAnsi="Times New Roman" w:hint="default"/>
          <w:sz w:val="32"/>
          <w:szCs w:val="32"/>
        </w:rPr>
        <w:t>万元</w:t>
      </w:r>
      <w:r>
        <w:rPr>
          <w:rFonts w:ascii="Times New Roman" w:eastAsia="仿宋_GB2312" w:hAnsi="Times New Roman"/>
          <w:sz w:val="32"/>
          <w:szCs w:val="32"/>
        </w:rPr>
        <w:t>，</w:t>
      </w:r>
      <w:r>
        <w:rPr>
          <w:rFonts w:ascii="Times New Roman" w:eastAsia="仿宋_GB2312" w:hAnsi="Times New Roman" w:hint="default"/>
          <w:sz w:val="32"/>
          <w:szCs w:val="32"/>
        </w:rPr>
        <w:t>包括财政拨款收入</w:t>
      </w:r>
      <w:r>
        <w:rPr>
          <w:rFonts w:ascii="Times New Roman" w:eastAsia="仿宋_GB2312" w:hAnsi="Times New Roman" w:hint="default"/>
          <w:sz w:val="32"/>
          <w:szCs w:val="32"/>
        </w:rPr>
        <w:t>417.89</w:t>
      </w:r>
      <w:r>
        <w:rPr>
          <w:rFonts w:ascii="Times New Roman" w:eastAsia="仿宋_GB2312" w:hAnsi="Times New Roman" w:hint="default"/>
          <w:sz w:val="32"/>
          <w:szCs w:val="32"/>
        </w:rPr>
        <w:t>万元（其中，一般公共预算</w:t>
      </w:r>
      <w:r>
        <w:rPr>
          <w:rFonts w:ascii="Times New Roman" w:eastAsia="仿宋_GB2312" w:hAnsi="Times New Roman" w:hint="default"/>
          <w:sz w:val="32"/>
          <w:szCs w:val="32"/>
        </w:rPr>
        <w:t>417.89</w:t>
      </w:r>
      <w:r>
        <w:rPr>
          <w:rFonts w:ascii="Times New Roman" w:eastAsia="仿宋_GB2312" w:hAnsi="Times New Roman" w:hint="default"/>
          <w:sz w:val="32"/>
          <w:szCs w:val="32"/>
        </w:rPr>
        <w:t>万元，政府性基金预算</w:t>
      </w:r>
      <w:r>
        <w:rPr>
          <w:rFonts w:ascii="Times New Roman" w:eastAsia="仿宋_GB2312" w:hAnsi="Times New Roman" w:hint="default"/>
          <w:sz w:val="32"/>
          <w:szCs w:val="32"/>
        </w:rPr>
        <w:t>0</w:t>
      </w:r>
      <w:r>
        <w:rPr>
          <w:rFonts w:ascii="Times New Roman" w:eastAsia="仿宋_GB2312" w:hAnsi="Times New Roman" w:hint="default"/>
          <w:sz w:val="32"/>
          <w:szCs w:val="32"/>
        </w:rPr>
        <w:t>万元</w:t>
      </w:r>
      <w:r>
        <w:rPr>
          <w:rFonts w:ascii="Times New Roman" w:eastAsia="仿宋_GB2312" w:hAnsi="Times New Roman" w:hint="default"/>
          <w:sz w:val="32"/>
          <w:szCs w:val="32"/>
        </w:rPr>
        <w:t>,</w:t>
      </w:r>
      <w:r>
        <w:rPr>
          <w:rFonts w:ascii="Times New Roman" w:eastAsia="仿宋_GB2312" w:hAnsi="Times New Roman" w:hint="default"/>
          <w:sz w:val="32"/>
          <w:szCs w:val="32"/>
        </w:rPr>
        <w:t>国有资本经营预算</w:t>
      </w:r>
      <w:r>
        <w:rPr>
          <w:rFonts w:ascii="Times New Roman" w:eastAsia="仿宋_GB2312" w:hAnsi="Times New Roman" w:hint="default"/>
          <w:sz w:val="32"/>
          <w:szCs w:val="32"/>
        </w:rPr>
        <w:t>0</w:t>
      </w:r>
      <w:r>
        <w:rPr>
          <w:rFonts w:ascii="Times New Roman" w:eastAsia="仿宋_GB2312" w:hAnsi="Times New Roman" w:hint="default"/>
          <w:sz w:val="32"/>
          <w:szCs w:val="32"/>
        </w:rPr>
        <w:t>万元），占收入合计</w:t>
      </w:r>
      <w:r>
        <w:rPr>
          <w:rFonts w:ascii="Times New Roman" w:eastAsia="仿宋_GB2312" w:hAnsi="Times New Roman" w:hint="default"/>
          <w:sz w:val="32"/>
          <w:szCs w:val="32"/>
        </w:rPr>
        <w:t>99.99%</w:t>
      </w:r>
      <w:r>
        <w:rPr>
          <w:rFonts w:ascii="Times New Roman" w:eastAsia="仿宋_GB2312" w:hAnsi="Times New Roman" w:hint="default"/>
          <w:sz w:val="32"/>
          <w:szCs w:val="32"/>
        </w:rPr>
        <w:t>；上级补助收入</w:t>
      </w:r>
      <w:r>
        <w:rPr>
          <w:rFonts w:ascii="Times New Roman" w:eastAsia="仿宋_GB2312" w:hAnsi="Times New Roman" w:hint="default"/>
          <w:sz w:val="32"/>
          <w:szCs w:val="32"/>
        </w:rPr>
        <w:t>0</w:t>
      </w:r>
      <w:r>
        <w:rPr>
          <w:rFonts w:ascii="Times New Roman" w:eastAsia="仿宋_GB2312" w:hAnsi="Times New Roman" w:hint="default"/>
          <w:sz w:val="32"/>
          <w:szCs w:val="32"/>
        </w:rPr>
        <w:t>万元，占收入合计</w:t>
      </w:r>
      <w:r>
        <w:rPr>
          <w:rFonts w:ascii="Times New Roman" w:eastAsia="仿宋_GB2312" w:hAnsi="Times New Roman" w:hint="default"/>
          <w:sz w:val="32"/>
          <w:szCs w:val="32"/>
        </w:rPr>
        <w:t>0%</w:t>
      </w:r>
      <w:r>
        <w:rPr>
          <w:rFonts w:ascii="Times New Roman" w:eastAsia="仿宋_GB2312" w:hAnsi="Times New Roman" w:hint="default"/>
          <w:sz w:val="32"/>
          <w:szCs w:val="32"/>
        </w:rPr>
        <w:t>；事业收入</w:t>
      </w:r>
      <w:r>
        <w:rPr>
          <w:rFonts w:ascii="Times New Roman" w:eastAsia="仿宋_GB2312" w:hAnsi="Times New Roman" w:hint="default"/>
          <w:sz w:val="32"/>
          <w:szCs w:val="32"/>
        </w:rPr>
        <w:t>0</w:t>
      </w:r>
      <w:r>
        <w:rPr>
          <w:rFonts w:ascii="Times New Roman" w:eastAsia="仿宋_GB2312" w:hAnsi="Times New Roman" w:hint="default"/>
          <w:sz w:val="32"/>
          <w:szCs w:val="32"/>
        </w:rPr>
        <w:t>万元，占收入合计</w:t>
      </w:r>
      <w:r>
        <w:rPr>
          <w:rFonts w:ascii="Times New Roman" w:eastAsia="仿宋_GB2312" w:hAnsi="Times New Roman" w:hint="default"/>
          <w:sz w:val="32"/>
          <w:szCs w:val="32"/>
        </w:rPr>
        <w:t>0%</w:t>
      </w:r>
      <w:r>
        <w:rPr>
          <w:rFonts w:ascii="Times New Roman" w:eastAsia="仿宋_GB2312" w:hAnsi="Times New Roman" w:hint="default"/>
          <w:sz w:val="32"/>
          <w:szCs w:val="32"/>
        </w:rPr>
        <w:t>；经营收入</w:t>
      </w:r>
      <w:r>
        <w:rPr>
          <w:rFonts w:ascii="Times New Roman" w:eastAsia="仿宋_GB2312" w:hAnsi="Times New Roman" w:hint="default"/>
          <w:sz w:val="32"/>
          <w:szCs w:val="32"/>
        </w:rPr>
        <w:t>0</w:t>
      </w:r>
      <w:r>
        <w:rPr>
          <w:rFonts w:ascii="Times New Roman" w:eastAsia="仿宋_GB2312" w:hAnsi="Times New Roman" w:hint="default"/>
          <w:sz w:val="32"/>
          <w:szCs w:val="32"/>
        </w:rPr>
        <w:t>万元，占收入合计</w:t>
      </w:r>
      <w:r>
        <w:rPr>
          <w:rFonts w:ascii="Times New Roman" w:eastAsia="仿宋_GB2312" w:hAnsi="Times New Roman" w:hint="default"/>
          <w:sz w:val="32"/>
          <w:szCs w:val="32"/>
        </w:rPr>
        <w:t>0%</w:t>
      </w:r>
      <w:r>
        <w:rPr>
          <w:rFonts w:ascii="Times New Roman" w:eastAsia="仿宋_GB2312" w:hAnsi="Times New Roman" w:hint="default"/>
          <w:sz w:val="32"/>
          <w:szCs w:val="32"/>
        </w:rPr>
        <w:t>；附属单位上缴收入</w:t>
      </w:r>
      <w:r>
        <w:rPr>
          <w:rFonts w:ascii="Times New Roman" w:eastAsia="仿宋_GB2312" w:hAnsi="Times New Roman" w:hint="default"/>
          <w:sz w:val="32"/>
          <w:szCs w:val="32"/>
        </w:rPr>
        <w:t>0</w:t>
      </w:r>
      <w:r>
        <w:rPr>
          <w:rFonts w:ascii="Times New Roman" w:eastAsia="仿宋_GB2312" w:hAnsi="Times New Roman" w:hint="default"/>
          <w:sz w:val="32"/>
          <w:szCs w:val="32"/>
        </w:rPr>
        <w:t>万元，占收入合计</w:t>
      </w:r>
      <w:r>
        <w:rPr>
          <w:rFonts w:ascii="Times New Roman" w:eastAsia="仿宋_GB2312" w:hAnsi="Times New Roman" w:hint="default"/>
          <w:sz w:val="32"/>
          <w:szCs w:val="32"/>
        </w:rPr>
        <w:t>0%</w:t>
      </w:r>
      <w:r>
        <w:rPr>
          <w:rFonts w:ascii="Times New Roman" w:eastAsia="仿宋_GB2312" w:hAnsi="Times New Roman" w:hint="default"/>
          <w:sz w:val="32"/>
          <w:szCs w:val="32"/>
        </w:rPr>
        <w:t>；其他收入</w:t>
      </w:r>
      <w:r>
        <w:rPr>
          <w:rFonts w:ascii="Times New Roman" w:eastAsia="仿宋_GB2312" w:hAnsi="Times New Roman" w:hint="default"/>
          <w:sz w:val="32"/>
          <w:szCs w:val="32"/>
        </w:rPr>
        <w:t>0.03</w:t>
      </w:r>
      <w:r>
        <w:rPr>
          <w:rFonts w:ascii="Times New Roman" w:eastAsia="仿宋_GB2312" w:hAnsi="Times New Roman" w:hint="default"/>
          <w:sz w:val="32"/>
          <w:szCs w:val="32"/>
        </w:rPr>
        <w:t>万元，占收入合计</w:t>
      </w:r>
      <w:r>
        <w:rPr>
          <w:rFonts w:ascii="Times New Roman" w:eastAsia="仿宋_GB2312" w:hAnsi="Times New Roman" w:hint="default"/>
          <w:sz w:val="32"/>
          <w:szCs w:val="32"/>
        </w:rPr>
        <w:t>0.01%</w:t>
      </w:r>
      <w:r>
        <w:rPr>
          <w:rFonts w:ascii="Times New Roman" w:eastAsia="仿宋_GB2312" w:hAnsi="Times New Roman" w:hint="default"/>
          <w:sz w:val="32"/>
          <w:szCs w:val="32"/>
        </w:rPr>
        <w:t>。</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7" w:name="_Toc8935"/>
      <w:r>
        <w:rPr>
          <w:rFonts w:ascii="Times New Roman" w:eastAsia="楷体_GB2312" w:hAnsi="Times New Roman" w:hint="default"/>
          <w:sz w:val="32"/>
          <w:szCs w:val="32"/>
        </w:rPr>
        <w:t>（三）支出决算情况说明</w:t>
      </w:r>
      <w:bookmarkEnd w:id="7"/>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本年支出合计</w:t>
      </w:r>
      <w:r>
        <w:rPr>
          <w:rFonts w:ascii="Times New Roman" w:eastAsia="仿宋_GB2312" w:hAnsi="Times New Roman" w:hint="default"/>
          <w:sz w:val="32"/>
          <w:szCs w:val="32"/>
        </w:rPr>
        <w:t>469.87</w:t>
      </w:r>
      <w:r>
        <w:rPr>
          <w:rFonts w:ascii="Times New Roman" w:eastAsia="仿宋_GB2312" w:hAnsi="Times New Roman" w:hint="default"/>
          <w:sz w:val="32"/>
          <w:szCs w:val="32"/>
        </w:rPr>
        <w:t>万元，其中基本支出</w:t>
      </w:r>
      <w:r>
        <w:rPr>
          <w:rFonts w:ascii="Times New Roman" w:eastAsia="仿宋_GB2312" w:hAnsi="Times New Roman" w:hint="default"/>
          <w:sz w:val="32"/>
          <w:szCs w:val="32"/>
        </w:rPr>
        <w:t>363.83</w:t>
      </w:r>
      <w:r>
        <w:rPr>
          <w:rFonts w:ascii="Times New Roman" w:eastAsia="仿宋_GB2312" w:hAnsi="Times New Roman" w:hint="default"/>
          <w:sz w:val="32"/>
          <w:szCs w:val="32"/>
        </w:rPr>
        <w:t>万元，占</w:t>
      </w:r>
      <w:r>
        <w:rPr>
          <w:rFonts w:ascii="Times New Roman" w:eastAsia="仿宋_GB2312" w:hAnsi="Times New Roman" w:hint="default"/>
          <w:sz w:val="32"/>
          <w:szCs w:val="32"/>
        </w:rPr>
        <w:t>77.43%</w:t>
      </w:r>
      <w:r>
        <w:rPr>
          <w:rFonts w:ascii="Times New Roman" w:eastAsia="仿宋_GB2312" w:hAnsi="Times New Roman" w:hint="default"/>
          <w:sz w:val="32"/>
          <w:szCs w:val="32"/>
        </w:rPr>
        <w:t>；项目支出</w:t>
      </w:r>
      <w:r>
        <w:rPr>
          <w:rFonts w:ascii="Times New Roman" w:eastAsia="仿宋_GB2312" w:hAnsi="Times New Roman" w:hint="default"/>
          <w:sz w:val="32"/>
          <w:szCs w:val="32"/>
        </w:rPr>
        <w:t>106.04</w:t>
      </w:r>
      <w:r>
        <w:rPr>
          <w:rFonts w:ascii="Times New Roman" w:eastAsia="仿宋_GB2312" w:hAnsi="Times New Roman" w:hint="default"/>
          <w:sz w:val="32"/>
          <w:szCs w:val="32"/>
        </w:rPr>
        <w:t>万元，占</w:t>
      </w:r>
      <w:r>
        <w:rPr>
          <w:rFonts w:ascii="Times New Roman" w:eastAsia="仿宋_GB2312" w:hAnsi="Times New Roman" w:hint="default"/>
          <w:sz w:val="32"/>
          <w:szCs w:val="32"/>
        </w:rPr>
        <w:t>22.57%</w:t>
      </w:r>
      <w:r>
        <w:rPr>
          <w:rFonts w:ascii="Times New Roman" w:eastAsia="仿宋_GB2312" w:hAnsi="Times New Roman" w:hint="default"/>
          <w:sz w:val="32"/>
          <w:szCs w:val="32"/>
        </w:rPr>
        <w:t>；上缴上级支出</w:t>
      </w:r>
      <w:r>
        <w:rPr>
          <w:rFonts w:ascii="Times New Roman" w:eastAsia="仿宋_GB2312" w:hAnsi="Times New Roman" w:hint="default"/>
          <w:sz w:val="32"/>
          <w:szCs w:val="32"/>
        </w:rPr>
        <w:t>0</w:t>
      </w:r>
      <w:r>
        <w:rPr>
          <w:rFonts w:ascii="Times New Roman" w:eastAsia="仿宋_GB2312" w:hAnsi="Times New Roman" w:hint="default"/>
          <w:sz w:val="32"/>
          <w:szCs w:val="32"/>
        </w:rPr>
        <w:t>万元，占</w:t>
      </w:r>
      <w:r>
        <w:rPr>
          <w:rFonts w:ascii="Times New Roman" w:eastAsia="仿宋_GB2312" w:hAnsi="Times New Roman" w:hint="default"/>
          <w:sz w:val="32"/>
          <w:szCs w:val="32"/>
        </w:rPr>
        <w:t>0%</w:t>
      </w:r>
      <w:r>
        <w:rPr>
          <w:rFonts w:ascii="Times New Roman" w:eastAsia="仿宋_GB2312" w:hAnsi="Times New Roman" w:hint="default"/>
          <w:sz w:val="32"/>
          <w:szCs w:val="32"/>
        </w:rPr>
        <w:t>；经营支出</w:t>
      </w:r>
      <w:r>
        <w:rPr>
          <w:rFonts w:ascii="Times New Roman" w:eastAsia="仿宋_GB2312" w:hAnsi="Times New Roman" w:hint="default"/>
          <w:sz w:val="32"/>
          <w:szCs w:val="32"/>
        </w:rPr>
        <w:t>0</w:t>
      </w:r>
      <w:r>
        <w:rPr>
          <w:rFonts w:ascii="Times New Roman" w:eastAsia="仿宋_GB2312" w:hAnsi="Times New Roman" w:hint="default"/>
          <w:sz w:val="32"/>
          <w:szCs w:val="32"/>
        </w:rPr>
        <w:t>万元，占</w:t>
      </w:r>
      <w:r>
        <w:rPr>
          <w:rFonts w:ascii="Times New Roman" w:eastAsia="仿宋_GB2312" w:hAnsi="Times New Roman" w:hint="default"/>
          <w:sz w:val="32"/>
          <w:szCs w:val="32"/>
        </w:rPr>
        <w:t>0%</w:t>
      </w:r>
      <w:r>
        <w:rPr>
          <w:rFonts w:ascii="Times New Roman" w:eastAsia="仿宋_GB2312" w:hAnsi="Times New Roman" w:hint="default"/>
          <w:sz w:val="32"/>
          <w:szCs w:val="32"/>
        </w:rPr>
        <w:t>；对附属单位补助支出</w:t>
      </w:r>
      <w:r>
        <w:rPr>
          <w:rFonts w:ascii="Times New Roman" w:eastAsia="仿宋_GB2312" w:hAnsi="Times New Roman" w:hint="default"/>
          <w:sz w:val="32"/>
          <w:szCs w:val="32"/>
        </w:rPr>
        <w:t>0</w:t>
      </w:r>
      <w:r>
        <w:rPr>
          <w:rFonts w:ascii="Times New Roman" w:eastAsia="仿宋_GB2312" w:hAnsi="Times New Roman" w:hint="default"/>
          <w:sz w:val="32"/>
          <w:szCs w:val="32"/>
        </w:rPr>
        <w:lastRenderedPageBreak/>
        <w:t>万元，占</w:t>
      </w:r>
      <w:r>
        <w:rPr>
          <w:rFonts w:ascii="Times New Roman" w:eastAsia="仿宋_GB2312" w:hAnsi="Times New Roman" w:hint="default"/>
          <w:sz w:val="32"/>
          <w:szCs w:val="32"/>
        </w:rPr>
        <w:t>0%</w:t>
      </w:r>
      <w:r>
        <w:rPr>
          <w:rFonts w:ascii="Times New Roman" w:eastAsia="仿宋_GB2312" w:hAnsi="Times New Roman" w:hint="default"/>
          <w:sz w:val="32"/>
          <w:szCs w:val="32"/>
        </w:rPr>
        <w:t>。</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8" w:name="_Toc12060"/>
      <w:r>
        <w:rPr>
          <w:rFonts w:ascii="Times New Roman" w:eastAsia="楷体_GB2312" w:hAnsi="Times New Roman" w:hint="default"/>
          <w:sz w:val="32"/>
          <w:szCs w:val="32"/>
        </w:rPr>
        <w:t>（四）财政拨款收入支出决算总体情况说明</w:t>
      </w:r>
      <w:bookmarkEnd w:id="8"/>
    </w:p>
    <w:p w:rsidR="009555FD" w:rsidRDefault="00BE3E8C">
      <w:pPr>
        <w:widowControl w:val="0"/>
        <w:spacing w:line="560" w:lineRule="exact"/>
        <w:ind w:firstLineChars="200" w:firstLine="640"/>
        <w:jc w:val="both"/>
        <w:rPr>
          <w:rFonts w:ascii="Times New Roman" w:eastAsia="仿宋_GB2312" w:hAnsi="Times New Roman" w:hint="default"/>
          <w:color w:val="FF0000"/>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年度财政拨款收入总计</w:t>
      </w:r>
      <w:r>
        <w:rPr>
          <w:rFonts w:ascii="Times New Roman" w:eastAsia="仿宋_GB2312" w:hAnsi="Times New Roman" w:hint="default"/>
          <w:sz w:val="32"/>
          <w:szCs w:val="32"/>
        </w:rPr>
        <w:t>519.11</w:t>
      </w:r>
      <w:r>
        <w:rPr>
          <w:rFonts w:ascii="Times New Roman" w:eastAsia="仿宋_GB2312" w:hAnsi="Times New Roman" w:hint="default"/>
          <w:sz w:val="32"/>
          <w:szCs w:val="32"/>
        </w:rPr>
        <w:t>万元，支出总计</w:t>
      </w:r>
      <w:r>
        <w:rPr>
          <w:rFonts w:ascii="Times New Roman" w:eastAsia="仿宋_GB2312" w:hAnsi="Times New Roman" w:hint="default"/>
          <w:sz w:val="32"/>
          <w:szCs w:val="32"/>
        </w:rPr>
        <w:t>519.11</w:t>
      </w:r>
      <w:r>
        <w:rPr>
          <w:rFonts w:ascii="Times New Roman" w:eastAsia="仿宋_GB2312" w:hAnsi="Times New Roman" w:hint="default"/>
          <w:sz w:val="32"/>
          <w:szCs w:val="32"/>
        </w:rPr>
        <w:t>万元，与</w:t>
      </w:r>
      <w:r>
        <w:rPr>
          <w:rFonts w:ascii="Times New Roman" w:eastAsia="仿宋_GB2312" w:hAnsi="Times New Roman" w:hint="default"/>
          <w:sz w:val="32"/>
          <w:szCs w:val="32"/>
        </w:rPr>
        <w:t>2019</w:t>
      </w:r>
      <w:r>
        <w:rPr>
          <w:rFonts w:ascii="Times New Roman" w:eastAsia="仿宋_GB2312" w:hAnsi="Times New Roman" w:hint="default"/>
          <w:sz w:val="32"/>
          <w:szCs w:val="32"/>
        </w:rPr>
        <w:t>年相比，各增加</w:t>
      </w:r>
      <w:r>
        <w:rPr>
          <w:rFonts w:ascii="Times New Roman" w:eastAsia="仿宋_GB2312" w:hAnsi="Times New Roman" w:hint="default"/>
          <w:sz w:val="32"/>
          <w:szCs w:val="32"/>
        </w:rPr>
        <w:t>200.62</w:t>
      </w:r>
      <w:r>
        <w:rPr>
          <w:rFonts w:ascii="Times New Roman" w:eastAsia="仿宋_GB2312" w:hAnsi="Times New Roman" w:hint="default"/>
          <w:sz w:val="32"/>
          <w:szCs w:val="32"/>
        </w:rPr>
        <w:t>万元，增长</w:t>
      </w:r>
      <w:r>
        <w:rPr>
          <w:rFonts w:ascii="Times New Roman" w:eastAsia="仿宋_GB2312" w:hAnsi="Times New Roman" w:hint="default"/>
          <w:sz w:val="32"/>
          <w:szCs w:val="32"/>
        </w:rPr>
        <w:t>62.99%</w:t>
      </w:r>
      <w:r>
        <w:rPr>
          <w:rFonts w:ascii="Times New Roman" w:eastAsia="仿宋_GB2312" w:hAnsi="Times New Roman" w:hint="default"/>
          <w:sz w:val="32"/>
          <w:szCs w:val="32"/>
        </w:rPr>
        <w:t>。</w:t>
      </w:r>
      <w:r>
        <w:rPr>
          <w:rFonts w:ascii="Times New Roman" w:eastAsia="仿宋_GB2312" w:hAnsi="Times New Roman"/>
          <w:sz w:val="32"/>
          <w:szCs w:val="32"/>
        </w:rPr>
        <w:t>增长的</w:t>
      </w:r>
      <w:r>
        <w:rPr>
          <w:rFonts w:ascii="Times New Roman" w:eastAsia="仿宋_GB2312" w:hAnsi="Times New Roman" w:hint="default"/>
          <w:sz w:val="32"/>
          <w:szCs w:val="32"/>
        </w:rPr>
        <w:t>主要原因是</w:t>
      </w:r>
      <w:r>
        <w:rPr>
          <w:rFonts w:ascii="Times New Roman" w:eastAsia="仿宋_GB2312" w:hAnsi="Times New Roman"/>
          <w:sz w:val="32"/>
          <w:szCs w:val="32"/>
        </w:rPr>
        <w:t>，</w:t>
      </w:r>
      <w:r>
        <w:rPr>
          <w:rFonts w:ascii="Times New Roman" w:eastAsia="仿宋_GB2312" w:hAnsi="Times New Roman" w:hint="default"/>
          <w:sz w:val="32"/>
          <w:szCs w:val="32"/>
        </w:rPr>
        <w:t>浙江省退役军人服务中心是</w:t>
      </w:r>
      <w:r>
        <w:rPr>
          <w:rFonts w:ascii="Times New Roman" w:eastAsia="仿宋_GB2312" w:hAnsi="Times New Roman" w:hint="default"/>
          <w:sz w:val="32"/>
          <w:szCs w:val="32"/>
        </w:rPr>
        <w:t>2019</w:t>
      </w:r>
      <w:r>
        <w:rPr>
          <w:rFonts w:ascii="Times New Roman" w:eastAsia="仿宋_GB2312" w:hAnsi="Times New Roman" w:hint="default"/>
          <w:sz w:val="32"/>
          <w:szCs w:val="32"/>
        </w:rPr>
        <w:t>年</w:t>
      </w:r>
      <w:r>
        <w:rPr>
          <w:rFonts w:ascii="Times New Roman" w:eastAsia="仿宋_GB2312" w:hAnsi="Times New Roman"/>
          <w:sz w:val="32"/>
          <w:szCs w:val="32"/>
        </w:rPr>
        <w:t>3</w:t>
      </w:r>
      <w:r>
        <w:rPr>
          <w:rFonts w:ascii="Times New Roman" w:eastAsia="仿宋_GB2312" w:hAnsi="Times New Roman" w:hint="default"/>
          <w:sz w:val="32"/>
          <w:szCs w:val="32"/>
        </w:rPr>
        <w:t>月新成立的事业单位，</w:t>
      </w:r>
      <w:r>
        <w:rPr>
          <w:rFonts w:ascii="Times New Roman" w:eastAsia="仿宋_GB2312" w:hAnsi="Times New Roman"/>
          <w:sz w:val="32"/>
          <w:szCs w:val="32"/>
        </w:rPr>
        <w:t>人员</w:t>
      </w:r>
      <w:r>
        <w:rPr>
          <w:rFonts w:ascii="Times New Roman" w:eastAsia="仿宋_GB2312" w:hAnsi="Times New Roman" w:hint="default"/>
          <w:sz w:val="32"/>
          <w:szCs w:val="32"/>
        </w:rPr>
        <w:t>陆续增加</w:t>
      </w:r>
      <w:r>
        <w:rPr>
          <w:rFonts w:ascii="Times New Roman" w:eastAsia="仿宋_GB2312" w:hAnsi="Times New Roman"/>
          <w:sz w:val="32"/>
          <w:szCs w:val="32"/>
        </w:rPr>
        <w:t>，人员经费</w:t>
      </w:r>
      <w:r>
        <w:rPr>
          <w:rFonts w:ascii="Times New Roman" w:eastAsia="仿宋_GB2312" w:hAnsi="Times New Roman" w:hint="default"/>
          <w:sz w:val="32"/>
          <w:szCs w:val="32"/>
        </w:rPr>
        <w:t>收入、支出</w:t>
      </w:r>
      <w:r>
        <w:rPr>
          <w:rFonts w:ascii="Times New Roman" w:eastAsia="仿宋_GB2312" w:hAnsi="Times New Roman"/>
          <w:sz w:val="32"/>
          <w:szCs w:val="32"/>
        </w:rPr>
        <w:t>也相应</w:t>
      </w:r>
      <w:r>
        <w:rPr>
          <w:rFonts w:ascii="Times New Roman" w:eastAsia="仿宋_GB2312" w:hAnsi="Times New Roman" w:hint="default"/>
          <w:sz w:val="32"/>
          <w:szCs w:val="32"/>
        </w:rPr>
        <w:t>增加。财政拨款支出年初预算数</w:t>
      </w:r>
      <w:r>
        <w:rPr>
          <w:rFonts w:ascii="Times New Roman" w:eastAsia="仿宋_GB2312" w:hAnsi="Times New Roman"/>
          <w:sz w:val="32"/>
          <w:szCs w:val="32"/>
        </w:rPr>
        <w:t>437.75</w:t>
      </w:r>
      <w:r>
        <w:rPr>
          <w:rFonts w:ascii="Times New Roman" w:eastAsia="仿宋_GB2312" w:hAnsi="Times New Roman" w:hint="default"/>
          <w:sz w:val="32"/>
          <w:szCs w:val="32"/>
        </w:rPr>
        <w:t>万元，完成年初预算的</w:t>
      </w:r>
      <w:r>
        <w:rPr>
          <w:rFonts w:ascii="Times New Roman" w:eastAsia="仿宋_GB2312" w:hAnsi="Times New Roman"/>
          <w:sz w:val="32"/>
          <w:szCs w:val="32"/>
        </w:rPr>
        <w:t>83.79</w:t>
      </w:r>
      <w:r>
        <w:rPr>
          <w:rFonts w:ascii="Times New Roman" w:eastAsia="仿宋_GB2312" w:hAnsi="Times New Roman" w:hint="default"/>
          <w:sz w:val="32"/>
          <w:szCs w:val="32"/>
        </w:rPr>
        <w:t>%</w:t>
      </w:r>
      <w:r>
        <w:rPr>
          <w:rFonts w:ascii="Times New Roman" w:eastAsia="仿宋_GB2312" w:hAnsi="Times New Roman"/>
          <w:sz w:val="32"/>
          <w:szCs w:val="32"/>
        </w:rPr>
        <w:t>。执行率不高的</w:t>
      </w:r>
      <w:r>
        <w:rPr>
          <w:rFonts w:ascii="Times New Roman" w:eastAsia="仿宋_GB2312" w:hAnsi="Times New Roman" w:hint="default"/>
          <w:sz w:val="32"/>
          <w:szCs w:val="32"/>
        </w:rPr>
        <w:t>主要原因是</w:t>
      </w:r>
      <w:r>
        <w:rPr>
          <w:rFonts w:ascii="Times New Roman" w:eastAsia="仿宋_GB2312" w:hAnsi="Times New Roman"/>
          <w:sz w:val="32"/>
          <w:szCs w:val="32"/>
        </w:rPr>
        <w:t>，支出时先支出了</w:t>
      </w:r>
      <w:r>
        <w:rPr>
          <w:rFonts w:ascii="Times New Roman" w:eastAsia="仿宋_GB2312" w:hAnsi="Times New Roman" w:hint="default"/>
          <w:sz w:val="32"/>
          <w:szCs w:val="32"/>
        </w:rPr>
        <w:t>2019</w:t>
      </w:r>
      <w:r>
        <w:rPr>
          <w:rFonts w:ascii="Times New Roman" w:eastAsia="仿宋_GB2312" w:hAnsi="Times New Roman" w:hint="default"/>
          <w:sz w:val="32"/>
          <w:szCs w:val="32"/>
        </w:rPr>
        <w:t>年结转资金，</w:t>
      </w:r>
      <w:r>
        <w:rPr>
          <w:rFonts w:ascii="Times New Roman" w:eastAsia="仿宋_GB2312" w:hAnsi="Times New Roman"/>
          <w:sz w:val="32"/>
          <w:szCs w:val="32"/>
        </w:rPr>
        <w:t>同时因</w:t>
      </w:r>
      <w:r>
        <w:rPr>
          <w:rFonts w:ascii="Times New Roman" w:eastAsia="仿宋_GB2312" w:hAnsi="Times New Roman" w:hint="default"/>
          <w:sz w:val="32"/>
          <w:szCs w:val="32"/>
        </w:rPr>
        <w:t>疫情影响</w:t>
      </w:r>
      <w:r>
        <w:rPr>
          <w:rFonts w:ascii="Times New Roman" w:eastAsia="仿宋_GB2312" w:hAnsi="Times New Roman"/>
          <w:sz w:val="32"/>
          <w:szCs w:val="32"/>
        </w:rPr>
        <w:t>，</w:t>
      </w:r>
      <w:r>
        <w:rPr>
          <w:rFonts w:ascii="Times New Roman" w:eastAsia="仿宋_GB2312" w:hAnsi="Times New Roman" w:hint="default"/>
          <w:sz w:val="32"/>
          <w:szCs w:val="32"/>
        </w:rPr>
        <w:t>差旅费等日常公用经费基本支出减少。</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9" w:name="_Toc4545"/>
      <w:r>
        <w:rPr>
          <w:rFonts w:ascii="Times New Roman" w:eastAsia="楷体_GB2312" w:hAnsi="Times New Roman" w:hint="default"/>
          <w:sz w:val="32"/>
          <w:szCs w:val="32"/>
        </w:rPr>
        <w:t>（五）一般公共预算财政拨款支出决算情况说明</w:t>
      </w:r>
      <w:bookmarkEnd w:id="9"/>
    </w:p>
    <w:p w:rsidR="009555FD" w:rsidRDefault="00BE3E8C">
      <w:pPr>
        <w:spacing w:line="560" w:lineRule="exact"/>
        <w:ind w:firstLineChars="200" w:firstLine="643"/>
        <w:jc w:val="both"/>
        <w:rPr>
          <w:rFonts w:ascii="Times New Roman" w:eastAsia="仿宋" w:hAnsi="Times New Roman" w:hint="default"/>
          <w:sz w:val="32"/>
          <w:szCs w:val="32"/>
        </w:rPr>
      </w:pPr>
      <w:r>
        <w:rPr>
          <w:rStyle w:val="17"/>
          <w:rFonts w:eastAsia="仿宋" w:hint="eastAsia"/>
          <w:sz w:val="32"/>
          <w:szCs w:val="32"/>
        </w:rPr>
        <w:t>1.</w:t>
      </w:r>
      <w:r>
        <w:rPr>
          <w:rStyle w:val="17"/>
          <w:rFonts w:eastAsia="仿宋" w:hint="eastAsia"/>
          <w:sz w:val="32"/>
          <w:szCs w:val="32"/>
        </w:rPr>
        <w:t>一般公共预算财政拨款支出决算总体情况。</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年度一般公共预算财政拨款支出</w:t>
      </w:r>
      <w:r>
        <w:rPr>
          <w:rFonts w:ascii="Times New Roman" w:eastAsia="仿宋_GB2312" w:hAnsi="Times New Roman" w:hint="default"/>
          <w:sz w:val="32"/>
          <w:szCs w:val="32"/>
        </w:rPr>
        <w:t>469.87</w:t>
      </w:r>
      <w:r>
        <w:rPr>
          <w:rFonts w:ascii="Times New Roman" w:eastAsia="仿宋_GB2312" w:hAnsi="Times New Roman" w:hint="default"/>
          <w:sz w:val="32"/>
          <w:szCs w:val="32"/>
        </w:rPr>
        <w:t>万元，占本年支出合计的</w:t>
      </w:r>
      <w:r>
        <w:rPr>
          <w:rFonts w:ascii="Times New Roman" w:eastAsia="仿宋_GB2312" w:hAnsi="Times New Roman" w:hint="default"/>
          <w:sz w:val="32"/>
          <w:szCs w:val="32"/>
        </w:rPr>
        <w:t>100.00%</w:t>
      </w:r>
      <w:r>
        <w:rPr>
          <w:rFonts w:ascii="Times New Roman" w:eastAsia="仿宋_GB2312" w:hAnsi="Times New Roman"/>
          <w:sz w:val="32"/>
          <w:szCs w:val="32"/>
        </w:rPr>
        <w:t>，</w:t>
      </w:r>
      <w:r>
        <w:rPr>
          <w:rFonts w:ascii="Times New Roman" w:eastAsia="仿宋_GB2312" w:hAnsi="Times New Roman" w:hint="default"/>
          <w:sz w:val="32"/>
          <w:szCs w:val="32"/>
        </w:rPr>
        <w:t>与</w:t>
      </w:r>
      <w:r>
        <w:rPr>
          <w:rFonts w:ascii="Times New Roman" w:eastAsia="仿宋_GB2312" w:hAnsi="Times New Roman" w:hint="default"/>
          <w:sz w:val="32"/>
          <w:szCs w:val="32"/>
        </w:rPr>
        <w:t>2019</w:t>
      </w:r>
      <w:r>
        <w:rPr>
          <w:rFonts w:ascii="Times New Roman" w:eastAsia="仿宋_GB2312" w:hAnsi="Times New Roman" w:hint="default"/>
          <w:sz w:val="32"/>
          <w:szCs w:val="32"/>
        </w:rPr>
        <w:t>年相比，一般公共预算财政拨款支出增加</w:t>
      </w:r>
      <w:r>
        <w:rPr>
          <w:rFonts w:ascii="Times New Roman" w:eastAsia="仿宋_GB2312" w:hAnsi="Times New Roman" w:hint="default"/>
          <w:sz w:val="32"/>
          <w:szCs w:val="32"/>
        </w:rPr>
        <w:t>236.05</w:t>
      </w:r>
      <w:r>
        <w:rPr>
          <w:rFonts w:ascii="Times New Roman" w:eastAsia="仿宋_GB2312" w:hAnsi="Times New Roman" w:hint="default"/>
          <w:sz w:val="32"/>
          <w:szCs w:val="32"/>
        </w:rPr>
        <w:t>万元，增长</w:t>
      </w:r>
      <w:r>
        <w:rPr>
          <w:rFonts w:ascii="Times New Roman" w:eastAsia="仿宋_GB2312" w:hAnsi="Times New Roman" w:hint="default"/>
          <w:sz w:val="32"/>
          <w:szCs w:val="32"/>
        </w:rPr>
        <w:t>100.95%</w:t>
      </w:r>
      <w:r>
        <w:rPr>
          <w:rFonts w:ascii="Times New Roman" w:eastAsia="仿宋_GB2312" w:hAnsi="Times New Roman" w:hint="default"/>
          <w:sz w:val="32"/>
          <w:szCs w:val="32"/>
        </w:rPr>
        <w:t>。</w:t>
      </w:r>
      <w:r>
        <w:rPr>
          <w:rFonts w:ascii="Times New Roman" w:eastAsia="仿宋_GB2312" w:hAnsi="Times New Roman"/>
          <w:sz w:val="32"/>
          <w:szCs w:val="32"/>
        </w:rPr>
        <w:t>增长的</w:t>
      </w:r>
      <w:r>
        <w:rPr>
          <w:rFonts w:ascii="Times New Roman" w:eastAsia="仿宋_GB2312" w:hAnsi="Times New Roman" w:hint="default"/>
          <w:sz w:val="32"/>
          <w:szCs w:val="32"/>
        </w:rPr>
        <w:t>主要原因是</w:t>
      </w:r>
      <w:r>
        <w:rPr>
          <w:rFonts w:ascii="Times New Roman" w:eastAsia="仿宋_GB2312" w:hAnsi="Times New Roman"/>
          <w:sz w:val="32"/>
          <w:szCs w:val="32"/>
        </w:rPr>
        <w:t>，</w:t>
      </w:r>
      <w:r>
        <w:rPr>
          <w:rFonts w:ascii="Times New Roman" w:eastAsia="仿宋_GB2312" w:hAnsi="Times New Roman" w:hint="default"/>
          <w:sz w:val="32"/>
          <w:szCs w:val="32"/>
        </w:rPr>
        <w:t>浙江省退役军人服务中心是</w:t>
      </w:r>
      <w:r>
        <w:rPr>
          <w:rFonts w:ascii="Times New Roman" w:eastAsia="仿宋_GB2312" w:hAnsi="Times New Roman" w:hint="default"/>
          <w:sz w:val="32"/>
          <w:szCs w:val="32"/>
        </w:rPr>
        <w:t>2019</w:t>
      </w:r>
      <w:r>
        <w:rPr>
          <w:rFonts w:ascii="Times New Roman" w:eastAsia="仿宋_GB2312" w:hAnsi="Times New Roman" w:hint="default"/>
          <w:sz w:val="32"/>
          <w:szCs w:val="32"/>
        </w:rPr>
        <w:t>年</w:t>
      </w:r>
      <w:r>
        <w:rPr>
          <w:rFonts w:ascii="Times New Roman" w:eastAsia="仿宋_GB2312" w:hAnsi="Times New Roman"/>
          <w:sz w:val="32"/>
          <w:szCs w:val="32"/>
        </w:rPr>
        <w:t>3</w:t>
      </w:r>
      <w:r>
        <w:rPr>
          <w:rFonts w:ascii="Times New Roman" w:eastAsia="仿宋_GB2312" w:hAnsi="Times New Roman" w:hint="default"/>
          <w:sz w:val="32"/>
          <w:szCs w:val="32"/>
        </w:rPr>
        <w:t>月新成立的事业单位，</w:t>
      </w:r>
      <w:r>
        <w:rPr>
          <w:rFonts w:ascii="Times New Roman" w:eastAsia="仿宋_GB2312" w:hAnsi="Times New Roman"/>
          <w:sz w:val="32"/>
          <w:szCs w:val="32"/>
        </w:rPr>
        <w:t>人员</w:t>
      </w:r>
      <w:r>
        <w:rPr>
          <w:rFonts w:ascii="Times New Roman" w:eastAsia="仿宋_GB2312" w:hAnsi="Times New Roman" w:hint="default"/>
          <w:sz w:val="32"/>
          <w:szCs w:val="32"/>
        </w:rPr>
        <w:t>陆续增加</w:t>
      </w:r>
      <w:r>
        <w:rPr>
          <w:rFonts w:ascii="Times New Roman" w:eastAsia="仿宋_GB2312" w:hAnsi="Times New Roman"/>
          <w:sz w:val="32"/>
          <w:szCs w:val="32"/>
        </w:rPr>
        <w:t>，人员经费</w:t>
      </w:r>
      <w:r>
        <w:rPr>
          <w:rFonts w:ascii="Times New Roman" w:eastAsia="仿宋_GB2312" w:hAnsi="Times New Roman" w:hint="default"/>
          <w:sz w:val="32"/>
          <w:szCs w:val="32"/>
        </w:rPr>
        <w:t>收入、支出</w:t>
      </w:r>
      <w:r>
        <w:rPr>
          <w:rFonts w:ascii="Times New Roman" w:eastAsia="仿宋_GB2312" w:hAnsi="Times New Roman"/>
          <w:sz w:val="32"/>
          <w:szCs w:val="32"/>
        </w:rPr>
        <w:t>也相应</w:t>
      </w:r>
      <w:r>
        <w:rPr>
          <w:rFonts w:ascii="Times New Roman" w:eastAsia="仿宋_GB2312" w:hAnsi="Times New Roman" w:hint="default"/>
          <w:sz w:val="32"/>
          <w:szCs w:val="32"/>
        </w:rPr>
        <w:t>增加。</w:t>
      </w:r>
    </w:p>
    <w:p w:rsidR="009555FD" w:rsidRDefault="00BE3E8C">
      <w:pPr>
        <w:widowControl w:val="0"/>
        <w:spacing w:line="560" w:lineRule="exact"/>
        <w:ind w:firstLineChars="200" w:firstLine="643"/>
        <w:jc w:val="both"/>
        <w:rPr>
          <w:rFonts w:ascii="Times New Roman" w:hAnsi="Times New Roman" w:hint="default"/>
          <w:sz w:val="32"/>
          <w:szCs w:val="32"/>
        </w:rPr>
      </w:pPr>
      <w:r>
        <w:rPr>
          <w:rStyle w:val="17"/>
          <w:rFonts w:eastAsia="仿宋" w:hint="eastAsia"/>
          <w:sz w:val="32"/>
          <w:szCs w:val="32"/>
        </w:rPr>
        <w:t>2.</w:t>
      </w:r>
      <w:r>
        <w:rPr>
          <w:rStyle w:val="17"/>
          <w:rFonts w:eastAsia="仿宋" w:hint="eastAsia"/>
          <w:sz w:val="32"/>
          <w:szCs w:val="32"/>
        </w:rPr>
        <w:t>一般公共预算财政拨款支出决算结构情况。</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年度一般公共预算财政拨款支出</w:t>
      </w:r>
      <w:r>
        <w:rPr>
          <w:rFonts w:ascii="Times New Roman" w:eastAsia="仿宋_GB2312" w:hAnsi="Times New Roman" w:hint="default"/>
          <w:sz w:val="32"/>
          <w:szCs w:val="32"/>
        </w:rPr>
        <w:t>469.87</w:t>
      </w:r>
      <w:r>
        <w:rPr>
          <w:rFonts w:ascii="Times New Roman" w:eastAsia="仿宋_GB2312" w:hAnsi="Times New Roman" w:hint="default"/>
          <w:sz w:val="32"/>
          <w:szCs w:val="32"/>
        </w:rPr>
        <w:t>万元，主要用于以下方面：社会保障和就业（类）支出</w:t>
      </w:r>
      <w:r>
        <w:rPr>
          <w:rFonts w:ascii="Times New Roman" w:eastAsia="仿宋_GB2312" w:hAnsi="Times New Roman" w:hint="default"/>
          <w:sz w:val="32"/>
          <w:szCs w:val="32"/>
        </w:rPr>
        <w:t>401.</w:t>
      </w:r>
      <w:r>
        <w:rPr>
          <w:rFonts w:ascii="Times New Roman" w:eastAsia="仿宋_GB2312" w:hAnsi="Times New Roman"/>
          <w:sz w:val="32"/>
          <w:szCs w:val="32"/>
        </w:rPr>
        <w:t>40</w:t>
      </w:r>
      <w:r>
        <w:rPr>
          <w:rFonts w:ascii="Times New Roman" w:eastAsia="仿宋_GB2312" w:hAnsi="Times New Roman" w:hint="default"/>
          <w:sz w:val="32"/>
          <w:szCs w:val="32"/>
        </w:rPr>
        <w:t>万元</w:t>
      </w:r>
      <w:r>
        <w:rPr>
          <w:rFonts w:ascii="Times New Roman" w:eastAsia="仿宋_GB2312" w:hAnsi="Times New Roman" w:hint="default"/>
          <w:sz w:val="32"/>
          <w:szCs w:val="32"/>
        </w:rPr>
        <w:t>,</w:t>
      </w:r>
      <w:r>
        <w:rPr>
          <w:rFonts w:ascii="Times New Roman" w:eastAsia="仿宋_GB2312" w:hAnsi="Times New Roman" w:hint="default"/>
          <w:sz w:val="32"/>
          <w:szCs w:val="32"/>
        </w:rPr>
        <w:t>占</w:t>
      </w:r>
      <w:r>
        <w:rPr>
          <w:rFonts w:ascii="Times New Roman" w:eastAsia="仿宋_GB2312" w:hAnsi="Times New Roman" w:hint="default"/>
          <w:sz w:val="32"/>
          <w:szCs w:val="32"/>
        </w:rPr>
        <w:t>85.43%</w:t>
      </w:r>
      <w:r>
        <w:rPr>
          <w:rFonts w:ascii="Times New Roman" w:eastAsia="仿宋_GB2312" w:hAnsi="Times New Roman" w:hint="default"/>
          <w:sz w:val="32"/>
          <w:szCs w:val="32"/>
        </w:rPr>
        <w:t>；卫生健康（类）支出</w:t>
      </w:r>
      <w:r>
        <w:rPr>
          <w:rFonts w:ascii="Times New Roman" w:eastAsia="仿宋_GB2312" w:hAnsi="Times New Roman" w:hint="default"/>
          <w:sz w:val="32"/>
          <w:szCs w:val="32"/>
        </w:rPr>
        <w:t>9.08</w:t>
      </w:r>
      <w:r>
        <w:rPr>
          <w:rFonts w:ascii="Times New Roman" w:eastAsia="仿宋_GB2312" w:hAnsi="Times New Roman" w:hint="default"/>
          <w:sz w:val="32"/>
          <w:szCs w:val="32"/>
        </w:rPr>
        <w:t>万元</w:t>
      </w:r>
      <w:r>
        <w:rPr>
          <w:rFonts w:ascii="Times New Roman" w:eastAsia="仿宋_GB2312" w:hAnsi="Times New Roman" w:hint="default"/>
          <w:sz w:val="32"/>
          <w:szCs w:val="32"/>
        </w:rPr>
        <w:t>,</w:t>
      </w:r>
      <w:r>
        <w:rPr>
          <w:rFonts w:ascii="Times New Roman" w:eastAsia="仿宋_GB2312" w:hAnsi="Times New Roman" w:hint="default"/>
          <w:sz w:val="32"/>
          <w:szCs w:val="32"/>
        </w:rPr>
        <w:t>占</w:t>
      </w:r>
      <w:r>
        <w:rPr>
          <w:rFonts w:ascii="Times New Roman" w:eastAsia="仿宋_GB2312" w:hAnsi="Times New Roman" w:hint="default"/>
          <w:sz w:val="32"/>
          <w:szCs w:val="32"/>
        </w:rPr>
        <w:t>1.93%</w:t>
      </w:r>
      <w:r>
        <w:rPr>
          <w:rFonts w:ascii="Times New Roman" w:eastAsia="仿宋_GB2312" w:hAnsi="Times New Roman" w:hint="default"/>
          <w:sz w:val="32"/>
          <w:szCs w:val="32"/>
        </w:rPr>
        <w:t>；住房保障（类）支出</w:t>
      </w:r>
      <w:r>
        <w:rPr>
          <w:rFonts w:ascii="Times New Roman" w:eastAsia="仿宋_GB2312" w:hAnsi="Times New Roman" w:hint="default"/>
          <w:sz w:val="32"/>
          <w:szCs w:val="32"/>
        </w:rPr>
        <w:t>59.39</w:t>
      </w:r>
      <w:r>
        <w:rPr>
          <w:rFonts w:ascii="Times New Roman" w:eastAsia="仿宋_GB2312" w:hAnsi="Times New Roman" w:hint="default"/>
          <w:sz w:val="32"/>
          <w:szCs w:val="32"/>
        </w:rPr>
        <w:t>万元</w:t>
      </w:r>
      <w:r>
        <w:rPr>
          <w:rFonts w:ascii="Times New Roman" w:eastAsia="仿宋_GB2312" w:hAnsi="Times New Roman" w:hint="default"/>
          <w:sz w:val="32"/>
          <w:szCs w:val="32"/>
        </w:rPr>
        <w:t>,</w:t>
      </w:r>
      <w:r>
        <w:rPr>
          <w:rFonts w:ascii="Times New Roman" w:eastAsia="仿宋_GB2312" w:hAnsi="Times New Roman" w:hint="default"/>
          <w:sz w:val="32"/>
          <w:szCs w:val="32"/>
        </w:rPr>
        <w:t>占</w:t>
      </w:r>
      <w:r>
        <w:rPr>
          <w:rFonts w:ascii="Times New Roman" w:eastAsia="仿宋_GB2312" w:hAnsi="Times New Roman" w:hint="default"/>
          <w:sz w:val="32"/>
          <w:szCs w:val="32"/>
        </w:rPr>
        <w:t>12.64%</w:t>
      </w:r>
      <w:r>
        <w:rPr>
          <w:rFonts w:ascii="Times New Roman" w:eastAsia="仿宋_GB2312" w:hAnsi="Times New Roman" w:hint="default"/>
          <w:sz w:val="32"/>
          <w:szCs w:val="32"/>
        </w:rPr>
        <w:t>。</w:t>
      </w:r>
    </w:p>
    <w:p w:rsidR="009555FD" w:rsidRDefault="00BE3E8C">
      <w:pPr>
        <w:spacing w:line="560" w:lineRule="exact"/>
        <w:ind w:firstLineChars="200" w:firstLine="643"/>
        <w:jc w:val="both"/>
        <w:rPr>
          <w:rFonts w:ascii="Times New Roman" w:hAnsi="Times New Roman" w:hint="default"/>
          <w:sz w:val="32"/>
          <w:szCs w:val="32"/>
        </w:rPr>
      </w:pPr>
      <w:r>
        <w:rPr>
          <w:rStyle w:val="17"/>
          <w:rFonts w:eastAsia="仿宋" w:hint="eastAsia"/>
          <w:sz w:val="32"/>
          <w:szCs w:val="32"/>
        </w:rPr>
        <w:lastRenderedPageBreak/>
        <w:t>3.</w:t>
      </w:r>
      <w:r>
        <w:rPr>
          <w:rStyle w:val="17"/>
          <w:rFonts w:eastAsia="仿宋" w:hint="eastAsia"/>
          <w:sz w:val="32"/>
          <w:szCs w:val="32"/>
        </w:rPr>
        <w:t>一般公共预算财政拨款支出决算具体情况。</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年度一般公共预算财政拨款支出年初预算为</w:t>
      </w:r>
      <w:r>
        <w:rPr>
          <w:rFonts w:ascii="Times New Roman" w:eastAsia="仿宋_GB2312" w:hAnsi="Times New Roman"/>
          <w:sz w:val="32"/>
          <w:szCs w:val="32"/>
        </w:rPr>
        <w:t>437.75</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469.87</w:t>
      </w:r>
      <w:r>
        <w:rPr>
          <w:rFonts w:ascii="Times New Roman" w:eastAsia="仿宋_GB2312" w:hAnsi="Times New Roman" w:hint="default"/>
          <w:sz w:val="32"/>
          <w:szCs w:val="32"/>
        </w:rPr>
        <w:t>万元</w:t>
      </w:r>
      <w:r>
        <w:rPr>
          <w:rFonts w:ascii="Times New Roman" w:eastAsia="仿宋_GB2312" w:hAnsi="Times New Roman" w:hint="default"/>
          <w:sz w:val="32"/>
          <w:szCs w:val="32"/>
        </w:rPr>
        <w:t>,</w:t>
      </w:r>
      <w:r>
        <w:rPr>
          <w:rFonts w:ascii="Times New Roman" w:eastAsia="仿宋_GB2312" w:hAnsi="Times New Roman" w:hint="default"/>
          <w:sz w:val="32"/>
          <w:szCs w:val="32"/>
        </w:rPr>
        <w:t>完成年初预算的</w:t>
      </w:r>
      <w:r>
        <w:rPr>
          <w:rFonts w:ascii="Times New Roman" w:eastAsia="仿宋_GB2312" w:hAnsi="Times New Roman"/>
          <w:sz w:val="32"/>
          <w:szCs w:val="32"/>
        </w:rPr>
        <w:t>107.34</w:t>
      </w:r>
      <w:r>
        <w:rPr>
          <w:rFonts w:ascii="Times New Roman" w:eastAsia="仿宋_GB2312" w:hAnsi="Times New Roman" w:hint="default"/>
          <w:sz w:val="32"/>
          <w:szCs w:val="32"/>
        </w:rPr>
        <w:t>%</w:t>
      </w:r>
      <w:r>
        <w:rPr>
          <w:rFonts w:ascii="Times New Roman" w:eastAsia="仿宋_GB2312" w:hAnsi="Times New Roman"/>
          <w:sz w:val="32"/>
          <w:szCs w:val="32"/>
        </w:rPr>
        <w:t>。增长的</w:t>
      </w:r>
      <w:r>
        <w:rPr>
          <w:rFonts w:ascii="Times New Roman" w:eastAsia="仿宋_GB2312" w:hAnsi="Times New Roman" w:hint="default"/>
          <w:sz w:val="32"/>
          <w:szCs w:val="32"/>
        </w:rPr>
        <w:t>主要原因是</w:t>
      </w:r>
      <w:r>
        <w:rPr>
          <w:rFonts w:ascii="Times New Roman" w:eastAsia="仿宋_GB2312" w:hAnsi="Times New Roman"/>
          <w:sz w:val="32"/>
          <w:szCs w:val="32"/>
        </w:rPr>
        <w:t>，</w:t>
      </w:r>
      <w:r>
        <w:rPr>
          <w:rFonts w:ascii="Times New Roman" w:eastAsia="仿宋_GB2312" w:hAnsi="Times New Roman" w:hint="default"/>
          <w:sz w:val="32"/>
          <w:szCs w:val="32"/>
        </w:rPr>
        <w:t>支出包含了上年结转资金。其中：</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1</w:t>
      </w:r>
      <w:r>
        <w:rPr>
          <w:rFonts w:ascii="Times New Roman" w:eastAsia="仿宋_GB2312" w:hAnsi="Times New Roman" w:hint="default"/>
          <w:sz w:val="32"/>
          <w:szCs w:val="32"/>
        </w:rPr>
        <w:t>）社会保障和就业支出（类）行政事业单位养老支出（款）机关事业单位基本养老保险缴费支出（项）。年初预算为</w:t>
      </w:r>
      <w:r>
        <w:rPr>
          <w:rFonts w:ascii="Times New Roman" w:eastAsia="仿宋_GB2312" w:hAnsi="Times New Roman"/>
          <w:sz w:val="32"/>
          <w:szCs w:val="32"/>
        </w:rPr>
        <w:t>16.8</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18.67</w:t>
      </w:r>
      <w:r>
        <w:rPr>
          <w:rFonts w:ascii="Times New Roman" w:eastAsia="仿宋_GB2312" w:hAnsi="Times New Roman" w:hint="default"/>
          <w:sz w:val="32"/>
          <w:szCs w:val="32"/>
        </w:rPr>
        <w:t>万元，完成年初预算的</w:t>
      </w:r>
      <w:r>
        <w:rPr>
          <w:rFonts w:ascii="Times New Roman" w:eastAsia="仿宋_GB2312" w:hAnsi="Times New Roman"/>
          <w:sz w:val="32"/>
          <w:szCs w:val="32"/>
        </w:rPr>
        <w:t>111.13</w:t>
      </w:r>
      <w:r>
        <w:rPr>
          <w:rFonts w:ascii="Times New Roman" w:eastAsia="仿宋_GB2312" w:hAnsi="Times New Roman" w:hint="default"/>
          <w:sz w:val="32"/>
          <w:szCs w:val="32"/>
        </w:rPr>
        <w:t>%</w:t>
      </w:r>
      <w:r>
        <w:rPr>
          <w:rFonts w:ascii="Times New Roman" w:eastAsia="仿宋_GB2312" w:hAnsi="Times New Roman"/>
          <w:sz w:val="32"/>
          <w:szCs w:val="32"/>
        </w:rPr>
        <w:t>。</w:t>
      </w:r>
      <w:r>
        <w:rPr>
          <w:rFonts w:ascii="Times New Roman" w:eastAsia="仿宋_GB2312" w:hAnsi="Times New Roman" w:hint="default"/>
          <w:sz w:val="32"/>
          <w:szCs w:val="32"/>
        </w:rPr>
        <w:t>决算数大于预算数的主要原因是</w:t>
      </w:r>
      <w:r>
        <w:rPr>
          <w:rFonts w:ascii="Times New Roman" w:eastAsia="仿宋_GB2312" w:hAnsi="Times New Roman"/>
          <w:sz w:val="32"/>
          <w:szCs w:val="32"/>
        </w:rPr>
        <w:t>，</w:t>
      </w:r>
      <w:r>
        <w:rPr>
          <w:rFonts w:ascii="Times New Roman" w:eastAsia="仿宋_GB2312" w:hAnsi="Times New Roman" w:hint="default"/>
          <w:sz w:val="32"/>
          <w:szCs w:val="32"/>
        </w:rPr>
        <w:t>上年结转资金在当年支出。</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2</w:t>
      </w:r>
      <w:r>
        <w:rPr>
          <w:rFonts w:ascii="Times New Roman" w:eastAsia="仿宋_GB2312" w:hAnsi="Times New Roman" w:hint="default"/>
          <w:sz w:val="32"/>
          <w:szCs w:val="32"/>
        </w:rPr>
        <w:t>）社会保障和就业支出（类）行政事业单位养老支出（款）机关事业单位职业年金缴费支出（项）。年初预算为</w:t>
      </w:r>
      <w:r>
        <w:rPr>
          <w:rFonts w:ascii="Times New Roman" w:eastAsia="仿宋_GB2312" w:hAnsi="Times New Roman" w:hint="default"/>
          <w:sz w:val="32"/>
          <w:szCs w:val="32"/>
        </w:rPr>
        <w:t>8.40</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9.34</w:t>
      </w:r>
      <w:r>
        <w:rPr>
          <w:rFonts w:ascii="Times New Roman" w:eastAsia="仿宋_GB2312" w:hAnsi="Times New Roman" w:hint="default"/>
          <w:sz w:val="32"/>
          <w:szCs w:val="32"/>
        </w:rPr>
        <w:t>万元，完成年初预算的</w:t>
      </w:r>
      <w:r>
        <w:rPr>
          <w:rFonts w:ascii="Times New Roman" w:eastAsia="仿宋_GB2312" w:hAnsi="Times New Roman" w:hint="default"/>
          <w:sz w:val="32"/>
          <w:szCs w:val="32"/>
        </w:rPr>
        <w:t>111.19%</w:t>
      </w:r>
      <w:r>
        <w:rPr>
          <w:rFonts w:ascii="Times New Roman" w:eastAsia="仿宋_GB2312" w:hAnsi="Times New Roman"/>
          <w:sz w:val="32"/>
          <w:szCs w:val="32"/>
        </w:rPr>
        <w:t>。</w:t>
      </w:r>
      <w:r>
        <w:rPr>
          <w:rFonts w:ascii="Times New Roman" w:eastAsia="仿宋_GB2312" w:hAnsi="Times New Roman" w:hint="default"/>
          <w:sz w:val="32"/>
          <w:szCs w:val="32"/>
        </w:rPr>
        <w:t>决算数大于预算数的主要原因是</w:t>
      </w:r>
      <w:r>
        <w:rPr>
          <w:rFonts w:ascii="Times New Roman" w:eastAsia="仿宋_GB2312" w:hAnsi="Times New Roman"/>
          <w:sz w:val="32"/>
          <w:szCs w:val="32"/>
        </w:rPr>
        <w:t>，</w:t>
      </w:r>
      <w:r>
        <w:rPr>
          <w:rFonts w:ascii="Times New Roman" w:eastAsia="仿宋_GB2312" w:hAnsi="Times New Roman" w:hint="default"/>
          <w:sz w:val="32"/>
          <w:szCs w:val="32"/>
        </w:rPr>
        <w:t>上年结转资金在当年支出。</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3</w:t>
      </w:r>
      <w:r>
        <w:rPr>
          <w:rFonts w:ascii="Times New Roman" w:eastAsia="仿宋_GB2312" w:hAnsi="Times New Roman" w:hint="default"/>
          <w:sz w:val="32"/>
          <w:szCs w:val="32"/>
        </w:rPr>
        <w:t>）社会保障和就业支出（类）退役军人管理事务（款）事业运行（项）。年初预算为</w:t>
      </w:r>
      <w:r>
        <w:rPr>
          <w:rFonts w:ascii="Times New Roman" w:eastAsia="仿宋_GB2312" w:hAnsi="Times New Roman"/>
          <w:sz w:val="32"/>
          <w:szCs w:val="32"/>
        </w:rPr>
        <w:t>281.45</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267.35</w:t>
      </w:r>
      <w:r>
        <w:rPr>
          <w:rFonts w:ascii="Times New Roman" w:eastAsia="仿宋_GB2312" w:hAnsi="Times New Roman" w:hint="default"/>
          <w:sz w:val="32"/>
          <w:szCs w:val="32"/>
        </w:rPr>
        <w:t>万元，完成年初预算的</w:t>
      </w:r>
      <w:r>
        <w:rPr>
          <w:rFonts w:ascii="Times New Roman" w:eastAsia="仿宋_GB2312" w:hAnsi="Times New Roman"/>
          <w:sz w:val="32"/>
          <w:szCs w:val="32"/>
        </w:rPr>
        <w:t>95</w:t>
      </w:r>
      <w:r>
        <w:rPr>
          <w:rFonts w:ascii="Times New Roman" w:eastAsia="仿宋_GB2312" w:hAnsi="Times New Roman" w:hint="default"/>
          <w:sz w:val="32"/>
          <w:szCs w:val="32"/>
        </w:rPr>
        <w:t>%</w:t>
      </w:r>
      <w:r>
        <w:rPr>
          <w:rFonts w:ascii="Times New Roman" w:eastAsia="仿宋_GB2312" w:hAnsi="Times New Roman"/>
          <w:sz w:val="32"/>
          <w:szCs w:val="32"/>
        </w:rPr>
        <w:t>。</w:t>
      </w:r>
      <w:r>
        <w:rPr>
          <w:rFonts w:ascii="仿宋_GB2312" w:eastAsia="仿宋_GB2312" w:hAnsi="仿宋_GB2312" w:cs="仿宋_GB2312"/>
          <w:sz w:val="32"/>
          <w:szCs w:val="32"/>
        </w:rPr>
        <w:t>决算数小于预算数的主要原因是，受新冠疫情影响部分项目没有全部完成年初预算。</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4</w:t>
      </w:r>
      <w:r>
        <w:rPr>
          <w:rFonts w:ascii="Times New Roman" w:eastAsia="仿宋_GB2312" w:hAnsi="Times New Roman" w:hint="default"/>
          <w:sz w:val="32"/>
          <w:szCs w:val="32"/>
        </w:rPr>
        <w:t>）社会保障和就业支出（类）退役军人管理事务（款）其他退役军人事务管理支出（项）。年初预算为</w:t>
      </w:r>
      <w:r>
        <w:rPr>
          <w:rFonts w:ascii="Times New Roman" w:eastAsia="仿宋_GB2312" w:hAnsi="Times New Roman"/>
          <w:sz w:val="32"/>
          <w:szCs w:val="32"/>
        </w:rPr>
        <w:t>94.08</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106.04</w:t>
      </w:r>
      <w:r>
        <w:rPr>
          <w:rFonts w:ascii="Times New Roman" w:eastAsia="仿宋_GB2312" w:hAnsi="Times New Roman" w:hint="default"/>
          <w:sz w:val="32"/>
          <w:szCs w:val="32"/>
        </w:rPr>
        <w:t>万元，完成年初预算的</w:t>
      </w:r>
      <w:r>
        <w:rPr>
          <w:rFonts w:ascii="Times New Roman" w:eastAsia="仿宋_GB2312" w:hAnsi="Times New Roman"/>
          <w:sz w:val="32"/>
          <w:szCs w:val="32"/>
        </w:rPr>
        <w:t>112.71</w:t>
      </w:r>
      <w:r>
        <w:rPr>
          <w:rFonts w:ascii="Times New Roman" w:eastAsia="仿宋_GB2312" w:hAnsi="Times New Roman" w:hint="default"/>
          <w:sz w:val="32"/>
          <w:szCs w:val="32"/>
        </w:rPr>
        <w:t>%</w:t>
      </w:r>
      <w:r>
        <w:rPr>
          <w:rFonts w:ascii="Times New Roman" w:eastAsia="仿宋_GB2312" w:hAnsi="Times New Roman"/>
          <w:sz w:val="32"/>
          <w:szCs w:val="32"/>
        </w:rPr>
        <w:t>。</w:t>
      </w:r>
      <w:r>
        <w:rPr>
          <w:rFonts w:ascii="Times New Roman" w:eastAsia="仿宋_GB2312" w:hAnsi="Times New Roman" w:hint="default"/>
          <w:sz w:val="32"/>
          <w:szCs w:val="32"/>
        </w:rPr>
        <w:t>决算数大于预算数的主要原因是</w:t>
      </w:r>
      <w:r>
        <w:rPr>
          <w:rFonts w:ascii="Times New Roman" w:eastAsia="仿宋_GB2312" w:hAnsi="Times New Roman"/>
          <w:sz w:val="32"/>
          <w:szCs w:val="32"/>
        </w:rPr>
        <w:t>，</w:t>
      </w:r>
      <w:r>
        <w:rPr>
          <w:rFonts w:ascii="Times New Roman" w:eastAsia="仿宋_GB2312" w:hAnsi="Times New Roman" w:hint="default"/>
          <w:sz w:val="32"/>
          <w:szCs w:val="32"/>
        </w:rPr>
        <w:t>上年结转资金在当年支出。</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5</w:t>
      </w:r>
      <w:r>
        <w:rPr>
          <w:rFonts w:ascii="Times New Roman" w:eastAsia="仿宋_GB2312" w:hAnsi="Times New Roman" w:hint="default"/>
          <w:sz w:val="32"/>
          <w:szCs w:val="32"/>
        </w:rPr>
        <w:t>）卫生健康支出（类）行政事业单位医疗（款）事业单</w:t>
      </w:r>
      <w:r>
        <w:rPr>
          <w:rFonts w:ascii="Times New Roman" w:eastAsia="仿宋_GB2312" w:hAnsi="Times New Roman" w:hint="default"/>
          <w:sz w:val="32"/>
          <w:szCs w:val="32"/>
        </w:rPr>
        <w:lastRenderedPageBreak/>
        <w:t>位医疗（项）。年初预算为</w:t>
      </w:r>
      <w:r>
        <w:rPr>
          <w:rFonts w:ascii="Times New Roman" w:eastAsia="仿宋_GB2312" w:hAnsi="Times New Roman" w:hint="default"/>
          <w:sz w:val="32"/>
          <w:szCs w:val="32"/>
        </w:rPr>
        <w:t>7.20</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9.08</w:t>
      </w:r>
      <w:r>
        <w:rPr>
          <w:rFonts w:ascii="Times New Roman" w:eastAsia="仿宋_GB2312" w:hAnsi="Times New Roman" w:hint="default"/>
          <w:sz w:val="32"/>
          <w:szCs w:val="32"/>
        </w:rPr>
        <w:t>万元，完成年初预算的</w:t>
      </w:r>
      <w:r>
        <w:rPr>
          <w:rFonts w:ascii="Times New Roman" w:eastAsia="仿宋_GB2312" w:hAnsi="Times New Roman" w:hint="default"/>
          <w:sz w:val="32"/>
          <w:szCs w:val="32"/>
        </w:rPr>
        <w:t>126.11%</w:t>
      </w:r>
      <w:r>
        <w:rPr>
          <w:rFonts w:ascii="Times New Roman" w:eastAsia="仿宋_GB2312" w:hAnsi="Times New Roman"/>
          <w:sz w:val="32"/>
          <w:szCs w:val="32"/>
        </w:rPr>
        <w:t>。</w:t>
      </w:r>
      <w:r>
        <w:rPr>
          <w:rFonts w:ascii="Times New Roman" w:eastAsia="仿宋_GB2312" w:hAnsi="Times New Roman" w:hint="default"/>
          <w:sz w:val="32"/>
          <w:szCs w:val="32"/>
        </w:rPr>
        <w:t>决算数大于预算数的主要原因是</w:t>
      </w:r>
      <w:r>
        <w:rPr>
          <w:rFonts w:ascii="Times New Roman" w:eastAsia="仿宋_GB2312" w:hAnsi="Times New Roman"/>
          <w:sz w:val="32"/>
          <w:szCs w:val="32"/>
        </w:rPr>
        <w:t>，</w:t>
      </w:r>
      <w:r>
        <w:rPr>
          <w:rFonts w:ascii="Times New Roman" w:eastAsia="仿宋_GB2312" w:hAnsi="Times New Roman" w:hint="default"/>
          <w:sz w:val="32"/>
          <w:szCs w:val="32"/>
        </w:rPr>
        <w:t>上年结转资金在当年支出。</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6</w:t>
      </w:r>
      <w:r>
        <w:rPr>
          <w:rFonts w:ascii="Times New Roman" w:eastAsia="仿宋_GB2312" w:hAnsi="Times New Roman" w:hint="default"/>
          <w:sz w:val="32"/>
          <w:szCs w:val="32"/>
        </w:rPr>
        <w:t>）住房保障支出（类）住房改革支出（款）住房公积金（项）。年初预算为</w:t>
      </w:r>
      <w:r>
        <w:rPr>
          <w:rFonts w:ascii="Times New Roman" w:eastAsia="仿宋_GB2312" w:hAnsi="Times New Roman" w:hint="default"/>
          <w:sz w:val="32"/>
          <w:szCs w:val="32"/>
        </w:rPr>
        <w:t>21.01</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26.78</w:t>
      </w:r>
      <w:r>
        <w:rPr>
          <w:rFonts w:ascii="Times New Roman" w:eastAsia="仿宋_GB2312" w:hAnsi="Times New Roman" w:hint="default"/>
          <w:sz w:val="32"/>
          <w:szCs w:val="32"/>
        </w:rPr>
        <w:t>万元，完成年初预算的</w:t>
      </w:r>
      <w:r>
        <w:rPr>
          <w:rFonts w:ascii="Times New Roman" w:eastAsia="仿宋_GB2312" w:hAnsi="Times New Roman" w:hint="default"/>
          <w:sz w:val="32"/>
          <w:szCs w:val="32"/>
        </w:rPr>
        <w:t>127.46%</w:t>
      </w:r>
      <w:r>
        <w:rPr>
          <w:rFonts w:ascii="Times New Roman" w:eastAsia="仿宋_GB2312" w:hAnsi="Times New Roman"/>
          <w:sz w:val="32"/>
          <w:szCs w:val="32"/>
        </w:rPr>
        <w:t>。</w:t>
      </w:r>
      <w:r>
        <w:rPr>
          <w:rFonts w:ascii="Times New Roman" w:eastAsia="仿宋_GB2312" w:hAnsi="Times New Roman" w:hint="default"/>
          <w:sz w:val="32"/>
          <w:szCs w:val="32"/>
        </w:rPr>
        <w:t>决算数大于预算数的主要原因是上年结转资金在当年支出。</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7</w:t>
      </w:r>
      <w:r>
        <w:rPr>
          <w:rFonts w:ascii="Times New Roman" w:eastAsia="仿宋_GB2312" w:hAnsi="Times New Roman" w:hint="default"/>
          <w:sz w:val="32"/>
          <w:szCs w:val="32"/>
        </w:rPr>
        <w:t>）住房保障支出（类）住房改革支出（款）购房补贴（项）。年初预算为</w:t>
      </w:r>
      <w:r>
        <w:rPr>
          <w:rFonts w:ascii="Times New Roman" w:eastAsia="仿宋_GB2312" w:hAnsi="Times New Roman"/>
          <w:sz w:val="32"/>
          <w:szCs w:val="32"/>
        </w:rPr>
        <w:t>8.81</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32.61</w:t>
      </w:r>
      <w:r>
        <w:rPr>
          <w:rFonts w:ascii="Times New Roman" w:eastAsia="仿宋_GB2312" w:hAnsi="Times New Roman" w:hint="default"/>
          <w:sz w:val="32"/>
          <w:szCs w:val="32"/>
        </w:rPr>
        <w:t>万元，完成年初预算的</w:t>
      </w:r>
      <w:r>
        <w:rPr>
          <w:rFonts w:ascii="Times New Roman" w:eastAsia="仿宋_GB2312" w:hAnsi="Times New Roman"/>
          <w:sz w:val="32"/>
          <w:szCs w:val="32"/>
        </w:rPr>
        <w:t>370.15</w:t>
      </w:r>
      <w:r>
        <w:rPr>
          <w:rFonts w:ascii="Times New Roman" w:eastAsia="仿宋_GB2312" w:hAnsi="Times New Roman" w:hint="default"/>
          <w:sz w:val="32"/>
          <w:szCs w:val="32"/>
        </w:rPr>
        <w:t>%</w:t>
      </w:r>
      <w:r>
        <w:rPr>
          <w:rFonts w:ascii="Times New Roman" w:eastAsia="仿宋_GB2312" w:hAnsi="Times New Roman"/>
          <w:sz w:val="32"/>
          <w:szCs w:val="32"/>
        </w:rPr>
        <w:t>。</w:t>
      </w:r>
      <w:r>
        <w:rPr>
          <w:rFonts w:ascii="Times New Roman" w:eastAsia="仿宋_GB2312" w:hAnsi="Times New Roman" w:hint="default"/>
          <w:sz w:val="32"/>
          <w:szCs w:val="32"/>
        </w:rPr>
        <w:t>决算数大于预算数的主要原因是</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hint="default"/>
          <w:sz w:val="32"/>
          <w:szCs w:val="32"/>
        </w:rPr>
        <w:t>人员增加</w:t>
      </w:r>
      <w:r>
        <w:rPr>
          <w:rFonts w:ascii="Times New Roman" w:eastAsia="仿宋_GB2312" w:hAnsi="Times New Roman"/>
          <w:sz w:val="32"/>
          <w:szCs w:val="32"/>
        </w:rPr>
        <w:t>，</w:t>
      </w:r>
      <w:r>
        <w:rPr>
          <w:rFonts w:ascii="Times New Roman" w:eastAsia="仿宋_GB2312" w:hAnsi="Times New Roman" w:hint="default"/>
          <w:sz w:val="32"/>
          <w:szCs w:val="32"/>
        </w:rPr>
        <w:t>年中财政追加预算用于该项支出</w:t>
      </w:r>
      <w:r>
        <w:rPr>
          <w:rFonts w:ascii="Times New Roman" w:eastAsia="仿宋_GB2312" w:hAnsi="Times New Roman"/>
          <w:sz w:val="32"/>
          <w:szCs w:val="32"/>
        </w:rPr>
        <w:t>和</w:t>
      </w:r>
      <w:r>
        <w:rPr>
          <w:rFonts w:ascii="Times New Roman" w:eastAsia="仿宋_GB2312" w:hAnsi="Times New Roman" w:hint="default"/>
          <w:sz w:val="32"/>
          <w:szCs w:val="32"/>
        </w:rPr>
        <w:t>上年结转资金在当年支出</w:t>
      </w:r>
      <w:r>
        <w:rPr>
          <w:rFonts w:ascii="Times New Roman" w:eastAsia="仿宋_GB2312" w:hAnsi="Times New Roman"/>
          <w:sz w:val="32"/>
          <w:szCs w:val="32"/>
        </w:rPr>
        <w:t>。</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0" w:name="_Toc8243"/>
      <w:r>
        <w:rPr>
          <w:rFonts w:ascii="Times New Roman" w:eastAsia="楷体_GB2312" w:hAnsi="Times New Roman" w:hint="default"/>
          <w:sz w:val="32"/>
          <w:szCs w:val="32"/>
        </w:rPr>
        <w:t>（六）一般公共预算财政拨款基本支出决算情况说明</w:t>
      </w:r>
      <w:bookmarkEnd w:id="10"/>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年度一般公共预算财政拨款基本支出</w:t>
      </w:r>
      <w:r>
        <w:rPr>
          <w:rFonts w:ascii="Times New Roman" w:eastAsia="仿宋_GB2312" w:hAnsi="Times New Roman" w:hint="default"/>
          <w:sz w:val="32"/>
          <w:szCs w:val="32"/>
        </w:rPr>
        <w:t>363.83</w:t>
      </w:r>
      <w:r>
        <w:rPr>
          <w:rFonts w:ascii="Times New Roman" w:eastAsia="仿宋_GB2312" w:hAnsi="Times New Roman" w:hint="default"/>
          <w:sz w:val="32"/>
          <w:szCs w:val="32"/>
        </w:rPr>
        <w:t>万元，其中：</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人员经费</w:t>
      </w:r>
      <w:r>
        <w:rPr>
          <w:rFonts w:ascii="Times New Roman" w:eastAsia="仿宋_GB2312" w:hAnsi="Times New Roman" w:hint="default"/>
          <w:sz w:val="32"/>
          <w:szCs w:val="32"/>
        </w:rPr>
        <w:t>280.50</w:t>
      </w:r>
      <w:r>
        <w:rPr>
          <w:rFonts w:ascii="Times New Roman" w:eastAsia="仿宋_GB2312" w:hAnsi="Times New Roman" w:hint="default"/>
          <w:sz w:val="32"/>
          <w:szCs w:val="32"/>
        </w:rPr>
        <w:t>万元，主要包括：基本工资、津贴补贴、绩效工资、机关事业单位基本养老保险缴费、职业年金缴费、职工基本医疗保险缴费、公务员医疗补助缴费、其他社会保障缴费、住房公积金、医疗费、其他工资福利支出、奖励金、其他对个人和家庭的补助支出。</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公用经费</w:t>
      </w:r>
      <w:r>
        <w:rPr>
          <w:rFonts w:ascii="Times New Roman" w:eastAsia="仿宋_GB2312" w:hAnsi="Times New Roman" w:hint="default"/>
          <w:sz w:val="32"/>
          <w:szCs w:val="32"/>
        </w:rPr>
        <w:t>83.32</w:t>
      </w:r>
      <w:r>
        <w:rPr>
          <w:rFonts w:ascii="Times New Roman" w:eastAsia="仿宋_GB2312" w:hAnsi="Times New Roman" w:hint="default"/>
          <w:sz w:val="32"/>
          <w:szCs w:val="32"/>
        </w:rPr>
        <w:t>万元，主要包括：办公费、印刷费、水费、电费、邮电费、差旅费、</w:t>
      </w:r>
      <w:r>
        <w:rPr>
          <w:rFonts w:ascii="Times New Roman" w:eastAsia="仿宋_GB2312" w:hAnsi="Times New Roman"/>
          <w:sz w:val="32"/>
          <w:szCs w:val="32"/>
        </w:rPr>
        <w:t>维修</w:t>
      </w:r>
      <w:r>
        <w:rPr>
          <w:rFonts w:ascii="仿宋_GB2312" w:eastAsia="仿宋_GB2312" w:hAnsi="仿宋_GB2312" w:cs="仿宋_GB2312"/>
          <w:sz w:val="32"/>
          <w:szCs w:val="32"/>
        </w:rPr>
        <w:t>（护）</w:t>
      </w:r>
      <w:r>
        <w:rPr>
          <w:rFonts w:ascii="Times New Roman" w:eastAsia="仿宋_GB2312" w:hAnsi="Times New Roman"/>
          <w:sz w:val="32"/>
          <w:szCs w:val="32"/>
        </w:rPr>
        <w:t>费、</w:t>
      </w:r>
      <w:r>
        <w:rPr>
          <w:rFonts w:ascii="Times New Roman" w:eastAsia="仿宋_GB2312" w:hAnsi="Times New Roman" w:hint="default"/>
          <w:sz w:val="32"/>
          <w:szCs w:val="32"/>
        </w:rPr>
        <w:t>会议费、培训</w:t>
      </w:r>
      <w:r>
        <w:rPr>
          <w:rFonts w:ascii="Times New Roman" w:eastAsia="仿宋_GB2312" w:hAnsi="Times New Roman" w:hint="default"/>
          <w:sz w:val="32"/>
          <w:szCs w:val="32"/>
        </w:rPr>
        <w:lastRenderedPageBreak/>
        <w:t>费、公务接待费、劳务费、工会经费、福利费、公务用车运行维护费、其他商品和服务支出</w:t>
      </w:r>
      <w:r>
        <w:rPr>
          <w:rFonts w:ascii="Times New Roman" w:eastAsia="仿宋_GB2312" w:hAnsi="Times New Roman"/>
          <w:sz w:val="32"/>
          <w:szCs w:val="32"/>
        </w:rPr>
        <w:t>、办公设备购置</w:t>
      </w:r>
      <w:r>
        <w:rPr>
          <w:rFonts w:ascii="Times New Roman" w:eastAsia="仿宋_GB2312" w:hAnsi="Times New Roman" w:hint="default"/>
          <w:sz w:val="32"/>
          <w:szCs w:val="32"/>
        </w:rPr>
        <w:t>。</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1" w:name="_Toc11563"/>
      <w:r>
        <w:rPr>
          <w:rFonts w:ascii="Times New Roman" w:eastAsia="楷体_GB2312" w:hAnsi="Times New Roman" w:hint="default"/>
          <w:sz w:val="32"/>
          <w:szCs w:val="32"/>
        </w:rPr>
        <w:t>（七）政府性基金预算财政拨款支出决算总体情况</w:t>
      </w:r>
      <w:bookmarkEnd w:id="11"/>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本单位</w:t>
      </w:r>
      <w:r>
        <w:rPr>
          <w:rFonts w:ascii="Times New Roman" w:eastAsia="仿宋_GB2312" w:hAnsi="Times New Roman" w:hint="default"/>
          <w:sz w:val="32"/>
          <w:szCs w:val="32"/>
        </w:rPr>
        <w:t>2020</w:t>
      </w:r>
      <w:r>
        <w:rPr>
          <w:rFonts w:ascii="Times New Roman" w:eastAsia="仿宋_GB2312" w:hAnsi="Times New Roman" w:hint="default"/>
          <w:sz w:val="32"/>
          <w:szCs w:val="32"/>
        </w:rPr>
        <w:t>年度无政府性基金预算财政拨款收支安排，故无相关数据。</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2" w:name="_Toc2821"/>
      <w:r>
        <w:rPr>
          <w:rFonts w:ascii="Times New Roman" w:eastAsia="楷体_GB2312" w:hAnsi="Times New Roman" w:hint="default"/>
          <w:sz w:val="32"/>
          <w:szCs w:val="32"/>
        </w:rPr>
        <w:t>（八）国有资本经营预算财政拨款支出决算总体情况</w:t>
      </w:r>
      <w:bookmarkEnd w:id="12"/>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本单位</w:t>
      </w:r>
      <w:r>
        <w:rPr>
          <w:rFonts w:ascii="Times New Roman" w:eastAsia="仿宋_GB2312" w:hAnsi="Times New Roman" w:hint="default"/>
          <w:sz w:val="32"/>
          <w:szCs w:val="32"/>
        </w:rPr>
        <w:t>2020</w:t>
      </w:r>
      <w:r>
        <w:rPr>
          <w:rFonts w:ascii="Times New Roman" w:eastAsia="仿宋_GB2312" w:hAnsi="Times New Roman" w:hint="default"/>
          <w:sz w:val="32"/>
          <w:szCs w:val="32"/>
        </w:rPr>
        <w:t>年度无国有资本经营预算财政拨款收支安排，故无相关数据。</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3" w:name="_Toc6694"/>
      <w:r>
        <w:rPr>
          <w:rFonts w:ascii="Times New Roman" w:eastAsia="楷体_GB2312" w:hAnsi="Times New Roman" w:hint="default"/>
          <w:sz w:val="32"/>
          <w:szCs w:val="32"/>
        </w:rPr>
        <w:t>（九）一般公共预算财政拨款</w:t>
      </w:r>
      <w:r>
        <w:rPr>
          <w:rFonts w:ascii="Times New Roman" w:eastAsia="楷体_GB2312" w:hAnsi="Times New Roman" w:hint="default"/>
          <w:sz w:val="32"/>
          <w:szCs w:val="32"/>
        </w:rPr>
        <w:t>“</w:t>
      </w:r>
      <w:r>
        <w:rPr>
          <w:rFonts w:ascii="Times New Roman" w:eastAsia="楷体_GB2312" w:hAnsi="Times New Roman" w:hint="default"/>
          <w:sz w:val="32"/>
          <w:szCs w:val="32"/>
        </w:rPr>
        <w:t>三公</w:t>
      </w:r>
      <w:r>
        <w:rPr>
          <w:rFonts w:ascii="Times New Roman" w:eastAsia="楷体_GB2312" w:hAnsi="Times New Roman" w:hint="default"/>
          <w:sz w:val="32"/>
          <w:szCs w:val="32"/>
        </w:rPr>
        <w:t>”</w:t>
      </w:r>
      <w:r>
        <w:rPr>
          <w:rFonts w:ascii="Times New Roman" w:eastAsia="楷体_GB2312" w:hAnsi="Times New Roman" w:hint="default"/>
          <w:sz w:val="32"/>
          <w:szCs w:val="32"/>
        </w:rPr>
        <w:t>经费支出决算情况说明</w:t>
      </w:r>
      <w:bookmarkEnd w:id="13"/>
    </w:p>
    <w:p w:rsidR="009555FD" w:rsidRDefault="00BE3E8C">
      <w:pPr>
        <w:widowControl w:val="0"/>
        <w:spacing w:line="560" w:lineRule="exact"/>
        <w:ind w:firstLineChars="200" w:firstLine="643"/>
        <w:jc w:val="both"/>
        <w:rPr>
          <w:rFonts w:ascii="Times New Roman" w:eastAsia="仿宋_GB2312" w:hAnsi="Times New Roman" w:hint="default"/>
          <w:b/>
          <w:sz w:val="32"/>
          <w:szCs w:val="32"/>
        </w:rPr>
      </w:pPr>
      <w:r>
        <w:rPr>
          <w:rFonts w:ascii="Times New Roman" w:eastAsia="仿宋_GB2312" w:hAnsi="Times New Roman" w:hint="default"/>
          <w:b/>
          <w:sz w:val="32"/>
          <w:szCs w:val="32"/>
        </w:rPr>
        <w:t>1.“</w:t>
      </w:r>
      <w:r>
        <w:rPr>
          <w:rFonts w:ascii="Times New Roman" w:eastAsia="仿宋_GB2312" w:hAnsi="Times New Roman" w:hint="default"/>
          <w:b/>
          <w:sz w:val="32"/>
          <w:szCs w:val="32"/>
        </w:rPr>
        <w:t>三公</w:t>
      </w:r>
      <w:r>
        <w:rPr>
          <w:rFonts w:ascii="Times New Roman" w:eastAsia="仿宋_GB2312" w:hAnsi="Times New Roman" w:hint="default"/>
          <w:b/>
          <w:sz w:val="32"/>
          <w:szCs w:val="32"/>
        </w:rPr>
        <w:t>”</w:t>
      </w:r>
      <w:r>
        <w:rPr>
          <w:rFonts w:ascii="Times New Roman" w:eastAsia="仿宋_GB2312" w:hAnsi="Times New Roman" w:hint="default"/>
          <w:b/>
          <w:sz w:val="32"/>
          <w:szCs w:val="32"/>
        </w:rPr>
        <w:t>经费一般公共预算财政拨款支出决算总体情况说明。</w:t>
      </w:r>
      <w:r>
        <w:rPr>
          <w:rFonts w:ascii="Times New Roman" w:eastAsia="仿宋_GB2312" w:hAnsi="Times New Roman" w:hint="default"/>
          <w:b/>
          <w:sz w:val="32"/>
          <w:szCs w:val="32"/>
        </w:rPr>
        <w:t xml:space="preserve"> </w:t>
      </w:r>
    </w:p>
    <w:p w:rsidR="009555FD" w:rsidRDefault="00BE3E8C">
      <w:pPr>
        <w:widowControl w:val="0"/>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w:t>
      </w:r>
      <w:r>
        <w:rPr>
          <w:rFonts w:ascii="Times New Roman" w:eastAsia="仿宋_GB2312" w:hAnsi="Times New Roman" w:hint="default"/>
          <w:sz w:val="32"/>
          <w:szCs w:val="32"/>
        </w:rPr>
        <w:t>“</w:t>
      </w:r>
      <w:r>
        <w:rPr>
          <w:rFonts w:ascii="Times New Roman" w:eastAsia="仿宋_GB2312" w:hAnsi="Times New Roman" w:hint="default"/>
          <w:sz w:val="32"/>
          <w:szCs w:val="32"/>
        </w:rPr>
        <w:t>三公</w:t>
      </w:r>
      <w:r>
        <w:rPr>
          <w:rFonts w:ascii="Times New Roman" w:eastAsia="仿宋_GB2312" w:hAnsi="Times New Roman" w:hint="default"/>
          <w:sz w:val="32"/>
          <w:szCs w:val="32"/>
        </w:rPr>
        <w:t>”</w:t>
      </w:r>
      <w:r>
        <w:rPr>
          <w:rFonts w:ascii="Times New Roman" w:eastAsia="仿宋_GB2312" w:hAnsi="Times New Roman" w:hint="default"/>
          <w:sz w:val="32"/>
          <w:szCs w:val="32"/>
        </w:rPr>
        <w:t>经费一般公共预算财政拨款支出预算为</w:t>
      </w:r>
      <w:r>
        <w:rPr>
          <w:rFonts w:ascii="Times New Roman" w:eastAsia="仿宋_GB2312" w:hAnsi="Times New Roman" w:hint="default"/>
          <w:sz w:val="32"/>
          <w:szCs w:val="32"/>
        </w:rPr>
        <w:t>5.43</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5.41</w:t>
      </w:r>
      <w:r>
        <w:rPr>
          <w:rFonts w:ascii="Times New Roman" w:eastAsia="仿宋_GB2312" w:hAnsi="Times New Roman" w:hint="default"/>
          <w:sz w:val="32"/>
          <w:szCs w:val="32"/>
        </w:rPr>
        <w:t>万元，完成预算的</w:t>
      </w:r>
      <w:r>
        <w:rPr>
          <w:rFonts w:ascii="Times New Roman" w:eastAsia="仿宋_GB2312" w:hAnsi="Times New Roman" w:hint="default"/>
          <w:sz w:val="32"/>
          <w:szCs w:val="32"/>
        </w:rPr>
        <w:t>99.63%,</w:t>
      </w:r>
      <w:r>
        <w:rPr>
          <w:rFonts w:ascii="Times New Roman" w:eastAsia="仿宋_GB2312" w:hAnsi="Times New Roman" w:hint="default"/>
          <w:sz w:val="32"/>
          <w:szCs w:val="32"/>
        </w:rPr>
        <w:t>基本完成年初预算目标。</w:t>
      </w:r>
    </w:p>
    <w:p w:rsidR="009555FD" w:rsidRDefault="00BE3E8C">
      <w:pPr>
        <w:widowControl w:val="0"/>
        <w:spacing w:line="560" w:lineRule="exact"/>
        <w:ind w:firstLineChars="200" w:firstLine="643"/>
        <w:jc w:val="both"/>
        <w:rPr>
          <w:rFonts w:ascii="Times New Roman" w:eastAsia="仿宋_GB2312" w:hAnsi="Times New Roman" w:hint="default"/>
          <w:b/>
          <w:sz w:val="32"/>
          <w:szCs w:val="32"/>
        </w:rPr>
      </w:pPr>
      <w:r>
        <w:rPr>
          <w:rFonts w:ascii="Times New Roman" w:eastAsia="仿宋_GB2312" w:hAnsi="Times New Roman" w:hint="default"/>
          <w:b/>
          <w:sz w:val="32"/>
          <w:szCs w:val="32"/>
        </w:rPr>
        <w:t>2.“</w:t>
      </w:r>
      <w:r>
        <w:rPr>
          <w:rFonts w:ascii="Times New Roman" w:eastAsia="仿宋_GB2312" w:hAnsi="Times New Roman" w:hint="default"/>
          <w:b/>
          <w:sz w:val="32"/>
          <w:szCs w:val="32"/>
        </w:rPr>
        <w:t>三公</w:t>
      </w:r>
      <w:r>
        <w:rPr>
          <w:rFonts w:ascii="Times New Roman" w:eastAsia="仿宋_GB2312" w:hAnsi="Times New Roman" w:hint="default"/>
          <w:b/>
          <w:sz w:val="32"/>
          <w:szCs w:val="32"/>
        </w:rPr>
        <w:t>”</w:t>
      </w:r>
      <w:r>
        <w:rPr>
          <w:rFonts w:ascii="Times New Roman" w:eastAsia="仿宋_GB2312" w:hAnsi="Times New Roman" w:hint="default"/>
          <w:b/>
          <w:sz w:val="32"/>
          <w:szCs w:val="32"/>
        </w:rPr>
        <w:t>经费一般公共预算财政拨款支出决算具体情况说明。</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w:t>
      </w:r>
      <w:r>
        <w:rPr>
          <w:rFonts w:ascii="Times New Roman" w:eastAsia="仿宋_GB2312" w:hAnsi="Times New Roman" w:hint="default"/>
          <w:sz w:val="32"/>
          <w:szCs w:val="32"/>
        </w:rPr>
        <w:t>“</w:t>
      </w:r>
      <w:r>
        <w:rPr>
          <w:rFonts w:ascii="Times New Roman" w:eastAsia="仿宋_GB2312" w:hAnsi="Times New Roman" w:hint="default"/>
          <w:sz w:val="32"/>
          <w:szCs w:val="32"/>
        </w:rPr>
        <w:t>三公</w:t>
      </w:r>
      <w:r>
        <w:rPr>
          <w:rFonts w:ascii="Times New Roman" w:eastAsia="仿宋_GB2312" w:hAnsi="Times New Roman" w:hint="default"/>
          <w:sz w:val="32"/>
          <w:szCs w:val="32"/>
        </w:rPr>
        <w:t>”</w:t>
      </w:r>
      <w:r>
        <w:rPr>
          <w:rFonts w:ascii="Times New Roman" w:eastAsia="仿宋_GB2312" w:hAnsi="Times New Roman" w:hint="default"/>
          <w:sz w:val="32"/>
          <w:szCs w:val="32"/>
        </w:rPr>
        <w:t>经费一般公共预算财政拨款支出决算中，因公出国（境）费用支出决算为</w:t>
      </w:r>
      <w:r>
        <w:rPr>
          <w:rFonts w:ascii="Times New Roman" w:eastAsia="仿宋_GB2312" w:hAnsi="Times New Roman" w:hint="default"/>
          <w:sz w:val="32"/>
          <w:szCs w:val="32"/>
        </w:rPr>
        <w:t>0</w:t>
      </w:r>
      <w:r>
        <w:rPr>
          <w:rFonts w:ascii="Times New Roman" w:eastAsia="仿宋_GB2312" w:hAnsi="Times New Roman" w:hint="default"/>
          <w:sz w:val="32"/>
          <w:szCs w:val="32"/>
        </w:rPr>
        <w:t>万元；公务用车购置及运行维护费支出决算为</w:t>
      </w:r>
      <w:r>
        <w:rPr>
          <w:rFonts w:ascii="Times New Roman" w:eastAsia="仿宋_GB2312" w:hAnsi="Times New Roman" w:hint="default"/>
          <w:sz w:val="32"/>
          <w:szCs w:val="32"/>
        </w:rPr>
        <w:t>3.98</w:t>
      </w:r>
      <w:r>
        <w:rPr>
          <w:rFonts w:ascii="Times New Roman" w:eastAsia="仿宋_GB2312" w:hAnsi="Times New Roman" w:hint="default"/>
          <w:sz w:val="32"/>
          <w:szCs w:val="32"/>
        </w:rPr>
        <w:t>万元，占</w:t>
      </w:r>
      <w:r>
        <w:rPr>
          <w:rFonts w:ascii="Times New Roman" w:eastAsia="仿宋_GB2312" w:hAnsi="Times New Roman" w:hint="default"/>
          <w:sz w:val="32"/>
          <w:szCs w:val="32"/>
        </w:rPr>
        <w:t>73.56%</w:t>
      </w:r>
      <w:r>
        <w:rPr>
          <w:rFonts w:ascii="Times New Roman" w:eastAsia="仿宋_GB2312" w:hAnsi="Times New Roman" w:hint="default"/>
          <w:sz w:val="32"/>
          <w:szCs w:val="32"/>
        </w:rPr>
        <w:t>，与</w:t>
      </w:r>
      <w:r>
        <w:rPr>
          <w:rFonts w:ascii="Times New Roman" w:eastAsia="仿宋_GB2312" w:hAnsi="Times New Roman" w:hint="default"/>
          <w:sz w:val="32"/>
          <w:szCs w:val="32"/>
        </w:rPr>
        <w:t>2019</w:t>
      </w:r>
      <w:r>
        <w:rPr>
          <w:rFonts w:ascii="Times New Roman" w:eastAsia="仿宋_GB2312" w:hAnsi="Times New Roman" w:hint="default"/>
          <w:sz w:val="32"/>
          <w:szCs w:val="32"/>
        </w:rPr>
        <w:t>年度相比，减少</w:t>
      </w:r>
      <w:r>
        <w:rPr>
          <w:rFonts w:ascii="Times New Roman" w:eastAsia="仿宋_GB2312" w:hAnsi="Times New Roman" w:hint="default"/>
          <w:sz w:val="32"/>
          <w:szCs w:val="32"/>
        </w:rPr>
        <w:t>18.98</w:t>
      </w:r>
      <w:r>
        <w:rPr>
          <w:rFonts w:ascii="Times New Roman" w:eastAsia="仿宋_GB2312" w:hAnsi="Times New Roman" w:hint="default"/>
          <w:sz w:val="32"/>
          <w:szCs w:val="32"/>
        </w:rPr>
        <w:t>万元，下降</w:t>
      </w:r>
      <w:r>
        <w:rPr>
          <w:rFonts w:ascii="Times New Roman" w:eastAsia="仿宋_GB2312" w:hAnsi="Times New Roman" w:hint="default"/>
          <w:sz w:val="32"/>
          <w:szCs w:val="32"/>
        </w:rPr>
        <w:t>82.67%</w:t>
      </w:r>
      <w:r>
        <w:rPr>
          <w:rFonts w:ascii="Times New Roman" w:eastAsia="仿宋_GB2312" w:hAnsi="Times New Roman" w:hint="default"/>
          <w:sz w:val="32"/>
          <w:szCs w:val="32"/>
        </w:rPr>
        <w:t>，主要原因是</w:t>
      </w:r>
      <w:r>
        <w:rPr>
          <w:rFonts w:ascii="Times New Roman" w:eastAsia="仿宋_GB2312" w:hAnsi="Times New Roman" w:hint="default"/>
          <w:sz w:val="32"/>
          <w:szCs w:val="32"/>
        </w:rPr>
        <w:t>2019</w:t>
      </w:r>
      <w:r>
        <w:rPr>
          <w:rFonts w:ascii="Times New Roman" w:eastAsia="仿宋_GB2312" w:hAnsi="Times New Roman" w:hint="default"/>
          <w:sz w:val="32"/>
          <w:szCs w:val="32"/>
        </w:rPr>
        <w:t>年度公务用车购置及运行维护费支出中含一辆业务用车购置费；公务接待费</w:t>
      </w:r>
      <w:r>
        <w:rPr>
          <w:rFonts w:ascii="Times New Roman" w:eastAsia="仿宋_GB2312" w:hAnsi="Times New Roman" w:hint="default"/>
          <w:sz w:val="32"/>
          <w:szCs w:val="32"/>
        </w:rPr>
        <w:lastRenderedPageBreak/>
        <w:t>支出决算为</w:t>
      </w:r>
      <w:r>
        <w:rPr>
          <w:rFonts w:ascii="Times New Roman" w:eastAsia="仿宋_GB2312" w:hAnsi="Times New Roman" w:hint="default"/>
          <w:sz w:val="32"/>
          <w:szCs w:val="32"/>
        </w:rPr>
        <w:t>1.43</w:t>
      </w:r>
      <w:r>
        <w:rPr>
          <w:rFonts w:ascii="Times New Roman" w:eastAsia="仿宋_GB2312" w:hAnsi="Times New Roman" w:hint="default"/>
          <w:sz w:val="32"/>
          <w:szCs w:val="32"/>
        </w:rPr>
        <w:t>万元，占</w:t>
      </w:r>
      <w:r>
        <w:rPr>
          <w:rFonts w:ascii="Times New Roman" w:eastAsia="仿宋_GB2312" w:hAnsi="Times New Roman" w:hint="default"/>
          <w:sz w:val="32"/>
          <w:szCs w:val="32"/>
        </w:rPr>
        <w:t>26.44%</w:t>
      </w:r>
      <w:r>
        <w:rPr>
          <w:rFonts w:ascii="Times New Roman" w:eastAsia="仿宋_GB2312" w:hAnsi="Times New Roman" w:hint="default"/>
          <w:sz w:val="32"/>
          <w:szCs w:val="32"/>
        </w:rPr>
        <w:t>，与</w:t>
      </w:r>
      <w:r>
        <w:rPr>
          <w:rFonts w:ascii="Times New Roman" w:eastAsia="仿宋_GB2312" w:hAnsi="Times New Roman" w:hint="default"/>
          <w:sz w:val="32"/>
          <w:szCs w:val="32"/>
        </w:rPr>
        <w:t>2019</w:t>
      </w:r>
      <w:r>
        <w:rPr>
          <w:rFonts w:ascii="Times New Roman" w:eastAsia="仿宋_GB2312" w:hAnsi="Times New Roman" w:hint="default"/>
          <w:sz w:val="32"/>
          <w:szCs w:val="32"/>
        </w:rPr>
        <w:t>年度相比，减少</w:t>
      </w:r>
      <w:r>
        <w:rPr>
          <w:rFonts w:ascii="Times New Roman" w:eastAsia="仿宋_GB2312" w:hAnsi="Times New Roman" w:hint="default"/>
          <w:sz w:val="32"/>
          <w:szCs w:val="32"/>
        </w:rPr>
        <w:t>0.07</w:t>
      </w:r>
      <w:r>
        <w:rPr>
          <w:rFonts w:ascii="Times New Roman" w:eastAsia="仿宋_GB2312" w:hAnsi="Times New Roman" w:hint="default"/>
          <w:sz w:val="32"/>
          <w:szCs w:val="32"/>
        </w:rPr>
        <w:t>万元，下降</w:t>
      </w:r>
      <w:r>
        <w:rPr>
          <w:rFonts w:ascii="Times New Roman" w:eastAsia="仿宋_GB2312" w:hAnsi="Times New Roman" w:hint="default"/>
          <w:sz w:val="32"/>
          <w:szCs w:val="32"/>
        </w:rPr>
        <w:t>4.45%</w:t>
      </w:r>
      <w:r>
        <w:rPr>
          <w:rFonts w:ascii="Times New Roman" w:eastAsia="仿宋_GB2312" w:hAnsi="Times New Roman"/>
          <w:sz w:val="32"/>
          <w:szCs w:val="32"/>
        </w:rPr>
        <w:t>。下降的</w:t>
      </w:r>
      <w:r>
        <w:rPr>
          <w:rFonts w:ascii="Times New Roman" w:eastAsia="仿宋_GB2312" w:hAnsi="Times New Roman" w:hint="default"/>
          <w:sz w:val="32"/>
          <w:szCs w:val="32"/>
        </w:rPr>
        <w:t>主要原因是</w:t>
      </w:r>
      <w:r>
        <w:rPr>
          <w:rFonts w:ascii="Times New Roman" w:eastAsia="仿宋_GB2312" w:hAnsi="Times New Roman"/>
          <w:sz w:val="32"/>
          <w:szCs w:val="32"/>
        </w:rPr>
        <w:t>，</w:t>
      </w:r>
      <w:r>
        <w:rPr>
          <w:rFonts w:ascii="Times New Roman" w:eastAsia="仿宋_GB2312" w:hAnsi="Times New Roman" w:hint="default"/>
          <w:sz w:val="32"/>
          <w:szCs w:val="32"/>
        </w:rPr>
        <w:t>按</w:t>
      </w:r>
      <w:r>
        <w:rPr>
          <w:rFonts w:ascii="Times New Roman" w:eastAsia="仿宋_GB2312" w:hAnsi="Times New Roman"/>
          <w:sz w:val="32"/>
          <w:szCs w:val="32"/>
        </w:rPr>
        <w:t>上级文件</w:t>
      </w:r>
      <w:r>
        <w:rPr>
          <w:rFonts w:ascii="Times New Roman" w:eastAsia="仿宋_GB2312" w:hAnsi="Times New Roman" w:hint="default"/>
          <w:sz w:val="32"/>
          <w:szCs w:val="32"/>
        </w:rPr>
        <w:t>规定压减了支出预算。具体情况如下：</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1</w:t>
      </w:r>
      <w:r>
        <w:rPr>
          <w:rFonts w:ascii="Times New Roman" w:eastAsia="仿宋_GB2312" w:hAnsi="Times New Roman" w:hint="default"/>
          <w:sz w:val="32"/>
          <w:szCs w:val="32"/>
        </w:rPr>
        <w:t>）因公出国（境）费预算数为</w:t>
      </w:r>
      <w:r>
        <w:rPr>
          <w:rFonts w:ascii="Times New Roman" w:eastAsia="仿宋_GB2312" w:hAnsi="Times New Roman" w:hint="default"/>
          <w:sz w:val="32"/>
          <w:szCs w:val="32"/>
        </w:rPr>
        <w:t>0</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0</w:t>
      </w:r>
      <w:r>
        <w:rPr>
          <w:rFonts w:ascii="Times New Roman" w:eastAsia="仿宋_GB2312" w:hAnsi="Times New Roman" w:hint="default"/>
          <w:sz w:val="32"/>
          <w:szCs w:val="32"/>
        </w:rPr>
        <w:t>万元。</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2</w:t>
      </w:r>
      <w:r>
        <w:rPr>
          <w:rFonts w:ascii="Times New Roman" w:eastAsia="仿宋_GB2312" w:hAnsi="Times New Roman" w:hint="default"/>
          <w:sz w:val="32"/>
          <w:szCs w:val="32"/>
        </w:rPr>
        <w:t>）公务用车购置及运行维护费预算数为</w:t>
      </w:r>
      <w:r>
        <w:rPr>
          <w:rFonts w:ascii="Times New Roman" w:eastAsia="仿宋_GB2312" w:hAnsi="Times New Roman" w:hint="default"/>
          <w:sz w:val="32"/>
          <w:szCs w:val="32"/>
        </w:rPr>
        <w:t>4</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3.98</w:t>
      </w:r>
      <w:r>
        <w:rPr>
          <w:rFonts w:ascii="Times New Roman" w:eastAsia="仿宋_GB2312" w:hAnsi="Times New Roman" w:hint="default"/>
          <w:sz w:val="32"/>
          <w:szCs w:val="32"/>
        </w:rPr>
        <w:t>万元，完成预算的</w:t>
      </w:r>
      <w:r>
        <w:rPr>
          <w:rFonts w:ascii="Times New Roman" w:eastAsia="仿宋_GB2312" w:hAnsi="Times New Roman" w:hint="default"/>
          <w:sz w:val="32"/>
          <w:szCs w:val="32"/>
        </w:rPr>
        <w:t>99.50%</w:t>
      </w:r>
      <w:r>
        <w:rPr>
          <w:rFonts w:ascii="Times New Roman" w:eastAsia="仿宋_GB2312" w:hAnsi="Times New Roman" w:hint="default"/>
          <w:sz w:val="32"/>
          <w:szCs w:val="32"/>
        </w:rPr>
        <w:t>，基本完成年初预算目标。</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公务用车购置预算数为</w:t>
      </w:r>
      <w:r>
        <w:rPr>
          <w:rFonts w:ascii="Times New Roman" w:eastAsia="仿宋_GB2312" w:hAnsi="Times New Roman" w:hint="default"/>
          <w:sz w:val="32"/>
          <w:szCs w:val="32"/>
        </w:rPr>
        <w:t>0</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0</w:t>
      </w:r>
      <w:r>
        <w:rPr>
          <w:rFonts w:ascii="Times New Roman" w:eastAsia="仿宋_GB2312" w:hAnsi="Times New Roman" w:hint="default"/>
          <w:sz w:val="32"/>
          <w:szCs w:val="32"/>
        </w:rPr>
        <w:t>万元（含购置税等附加费用）。</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公务用车运行维护费预算数为</w:t>
      </w:r>
      <w:r>
        <w:rPr>
          <w:rFonts w:ascii="Times New Roman" w:eastAsia="仿宋_GB2312" w:hAnsi="Times New Roman" w:hint="default"/>
          <w:sz w:val="32"/>
          <w:szCs w:val="32"/>
        </w:rPr>
        <w:t>4</w:t>
      </w:r>
      <w:r>
        <w:rPr>
          <w:rFonts w:ascii="Times New Roman" w:eastAsia="仿宋_GB2312" w:hAnsi="Times New Roman" w:hint="default"/>
          <w:sz w:val="32"/>
          <w:szCs w:val="32"/>
        </w:rPr>
        <w:t>万元，支出</w:t>
      </w:r>
      <w:r>
        <w:rPr>
          <w:rFonts w:ascii="Times New Roman" w:eastAsia="仿宋_GB2312" w:hAnsi="Times New Roman" w:hint="default"/>
          <w:sz w:val="32"/>
          <w:szCs w:val="32"/>
        </w:rPr>
        <w:t>3.98</w:t>
      </w:r>
      <w:r>
        <w:rPr>
          <w:rFonts w:ascii="Times New Roman" w:eastAsia="仿宋_GB2312" w:hAnsi="Times New Roman" w:hint="default"/>
          <w:sz w:val="32"/>
          <w:szCs w:val="32"/>
        </w:rPr>
        <w:t>万元，完成预算的</w:t>
      </w:r>
      <w:r>
        <w:rPr>
          <w:rFonts w:ascii="Times New Roman" w:eastAsia="仿宋_GB2312" w:hAnsi="Times New Roman" w:hint="default"/>
          <w:sz w:val="32"/>
          <w:szCs w:val="32"/>
        </w:rPr>
        <w:t>99.5%</w:t>
      </w:r>
      <w:r>
        <w:rPr>
          <w:rFonts w:ascii="Times New Roman" w:eastAsia="仿宋_GB2312" w:hAnsi="Times New Roman" w:hint="default"/>
          <w:sz w:val="32"/>
          <w:szCs w:val="32"/>
        </w:rPr>
        <w:t>，基本完成年初预算目标。主要用于调研、指导全省各级服务中心（站）工作等所需的公务用车燃料费、维修费、过路过桥费、保险费等支出</w:t>
      </w:r>
      <w:r>
        <w:rPr>
          <w:rFonts w:ascii="Times New Roman" w:eastAsia="仿宋_GB2312" w:hAnsi="Times New Roman"/>
          <w:sz w:val="32"/>
          <w:szCs w:val="32"/>
        </w:rPr>
        <w:t>。</w:t>
      </w:r>
      <w:r>
        <w:rPr>
          <w:rFonts w:ascii="Times New Roman" w:eastAsia="仿宋_GB2312" w:hAnsi="Times New Roman" w:hint="default"/>
          <w:sz w:val="32"/>
          <w:szCs w:val="32"/>
        </w:rPr>
        <w:t>2020</w:t>
      </w:r>
      <w:r>
        <w:rPr>
          <w:rFonts w:ascii="Times New Roman" w:eastAsia="仿宋_GB2312" w:hAnsi="Times New Roman" w:hint="default"/>
          <w:sz w:val="32"/>
          <w:szCs w:val="32"/>
        </w:rPr>
        <w:t>年度，本单位开支一般公共预算财政拨款的公务用车保有量为</w:t>
      </w:r>
      <w:r>
        <w:rPr>
          <w:rFonts w:ascii="Times New Roman" w:eastAsia="仿宋_GB2312" w:hAnsi="Times New Roman" w:hint="default"/>
          <w:sz w:val="32"/>
          <w:szCs w:val="32"/>
        </w:rPr>
        <w:t>1</w:t>
      </w:r>
      <w:r>
        <w:rPr>
          <w:rFonts w:ascii="Times New Roman" w:eastAsia="仿宋_GB2312" w:hAnsi="Times New Roman" w:hint="default"/>
          <w:sz w:val="32"/>
          <w:szCs w:val="32"/>
        </w:rPr>
        <w:t>辆。</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3</w:t>
      </w:r>
      <w:r>
        <w:rPr>
          <w:rFonts w:ascii="Times New Roman" w:eastAsia="仿宋_GB2312" w:hAnsi="Times New Roman" w:hint="default"/>
          <w:sz w:val="32"/>
          <w:szCs w:val="32"/>
        </w:rPr>
        <w:t>）公务接待费预算数为</w:t>
      </w:r>
      <w:r>
        <w:rPr>
          <w:rFonts w:ascii="Times New Roman" w:eastAsia="仿宋_GB2312" w:hAnsi="Times New Roman" w:hint="default"/>
          <w:sz w:val="32"/>
          <w:szCs w:val="32"/>
        </w:rPr>
        <w:t>1.43</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1.43</w:t>
      </w:r>
      <w:r>
        <w:rPr>
          <w:rFonts w:ascii="Times New Roman" w:eastAsia="仿宋_GB2312" w:hAnsi="Times New Roman" w:hint="default"/>
          <w:sz w:val="32"/>
          <w:szCs w:val="32"/>
        </w:rPr>
        <w:t>万元，完成预算的</w:t>
      </w:r>
      <w:r>
        <w:rPr>
          <w:rFonts w:ascii="Times New Roman" w:eastAsia="仿宋_GB2312" w:hAnsi="Times New Roman" w:hint="default"/>
          <w:sz w:val="32"/>
          <w:szCs w:val="32"/>
        </w:rPr>
        <w:t>100%</w:t>
      </w:r>
      <w:r>
        <w:rPr>
          <w:rFonts w:ascii="Times New Roman" w:eastAsia="仿宋_GB2312" w:hAnsi="Times New Roman" w:hint="default"/>
          <w:sz w:val="32"/>
          <w:szCs w:val="32"/>
        </w:rPr>
        <w:t>。主要用于</w:t>
      </w:r>
      <w:r>
        <w:rPr>
          <w:rFonts w:ascii="Times New Roman" w:eastAsia="仿宋_GB2312" w:hAnsi="Times New Roman"/>
          <w:sz w:val="32"/>
          <w:szCs w:val="32"/>
        </w:rPr>
        <w:t>退役军人事务部</w:t>
      </w:r>
      <w:r>
        <w:rPr>
          <w:rFonts w:ascii="Times New Roman" w:eastAsia="仿宋_GB2312" w:hAnsi="Times New Roman" w:hint="default"/>
          <w:sz w:val="32"/>
          <w:szCs w:val="32"/>
        </w:rPr>
        <w:t>、兄弟省份、省内县级（市、区）退役</w:t>
      </w:r>
      <w:r w:rsidRPr="00F8510B">
        <w:rPr>
          <w:rFonts w:ascii="Times New Roman" w:eastAsia="仿宋_GB2312" w:hAnsi="Times New Roman" w:hint="default"/>
          <w:sz w:val="32"/>
          <w:szCs w:val="32"/>
        </w:rPr>
        <w:t>军人</w:t>
      </w:r>
      <w:r w:rsidR="00F8510B">
        <w:rPr>
          <w:rFonts w:ascii="Times New Roman" w:eastAsia="仿宋_GB2312" w:hAnsi="Times New Roman"/>
          <w:sz w:val="32"/>
          <w:szCs w:val="32"/>
        </w:rPr>
        <w:t>事务</w:t>
      </w:r>
      <w:r w:rsidRPr="00F8510B">
        <w:rPr>
          <w:rFonts w:ascii="Times New Roman" w:eastAsia="仿宋_GB2312" w:hAnsi="Times New Roman"/>
          <w:sz w:val="32"/>
          <w:szCs w:val="32"/>
        </w:rPr>
        <w:t>局</w:t>
      </w:r>
      <w:r>
        <w:rPr>
          <w:rFonts w:ascii="Times New Roman" w:eastAsia="仿宋_GB2312" w:hAnsi="Times New Roman" w:hint="default"/>
          <w:sz w:val="32"/>
          <w:szCs w:val="32"/>
        </w:rPr>
        <w:t>来杭的公务联系用餐支出</w:t>
      </w:r>
      <w:r>
        <w:rPr>
          <w:rFonts w:ascii="Times New Roman" w:eastAsia="仿宋_GB2312" w:hAnsi="Times New Roman"/>
          <w:sz w:val="32"/>
          <w:szCs w:val="32"/>
        </w:rPr>
        <w:t>，</w:t>
      </w:r>
      <w:r>
        <w:rPr>
          <w:rFonts w:ascii="Times New Roman" w:eastAsia="仿宋_GB2312" w:hAnsi="Times New Roman" w:hint="default"/>
          <w:sz w:val="32"/>
          <w:szCs w:val="32"/>
        </w:rPr>
        <w:t>基本完成年初预算目标。全年使用一般公共预算财政拨款国内公务接待</w:t>
      </w:r>
      <w:r>
        <w:rPr>
          <w:rFonts w:ascii="Times New Roman" w:eastAsia="仿宋_GB2312" w:hAnsi="Times New Roman" w:hint="default"/>
          <w:sz w:val="32"/>
          <w:szCs w:val="32"/>
        </w:rPr>
        <w:t>15</w:t>
      </w:r>
      <w:r>
        <w:rPr>
          <w:rFonts w:ascii="Times New Roman" w:eastAsia="仿宋_GB2312" w:hAnsi="Times New Roman" w:hint="default"/>
          <w:sz w:val="32"/>
          <w:szCs w:val="32"/>
        </w:rPr>
        <w:t>团组，累计</w:t>
      </w:r>
      <w:r>
        <w:rPr>
          <w:rFonts w:ascii="Times New Roman" w:eastAsia="仿宋_GB2312" w:hAnsi="Times New Roman" w:hint="default"/>
          <w:sz w:val="32"/>
          <w:szCs w:val="32"/>
        </w:rPr>
        <w:t>99</w:t>
      </w:r>
      <w:r>
        <w:rPr>
          <w:rFonts w:ascii="Times New Roman" w:eastAsia="仿宋_GB2312" w:hAnsi="Times New Roman" w:hint="default"/>
          <w:sz w:val="32"/>
          <w:szCs w:val="32"/>
        </w:rPr>
        <w:t>人次。</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其他国内公务接待支出</w:t>
      </w:r>
      <w:r>
        <w:rPr>
          <w:rFonts w:ascii="Times New Roman" w:eastAsia="仿宋_GB2312" w:hAnsi="Times New Roman" w:hint="default"/>
          <w:sz w:val="32"/>
          <w:szCs w:val="32"/>
        </w:rPr>
        <w:t>1.43</w:t>
      </w:r>
      <w:r>
        <w:rPr>
          <w:rFonts w:ascii="Times New Roman" w:eastAsia="仿宋_GB2312" w:hAnsi="Times New Roman" w:hint="default"/>
          <w:sz w:val="32"/>
          <w:szCs w:val="32"/>
        </w:rPr>
        <w:t>万元，主要用于</w:t>
      </w:r>
      <w:r>
        <w:rPr>
          <w:rFonts w:ascii="Times New Roman" w:eastAsia="仿宋_GB2312" w:hAnsi="Times New Roman"/>
          <w:sz w:val="32"/>
          <w:szCs w:val="32"/>
        </w:rPr>
        <w:t>退役军人事务部</w:t>
      </w:r>
      <w:r>
        <w:rPr>
          <w:rFonts w:ascii="Times New Roman" w:eastAsia="仿宋_GB2312" w:hAnsi="Times New Roman" w:hint="default"/>
          <w:sz w:val="32"/>
          <w:szCs w:val="32"/>
        </w:rPr>
        <w:t>、兄弟省份、省内</w:t>
      </w:r>
      <w:r>
        <w:rPr>
          <w:rFonts w:ascii="Times New Roman" w:eastAsia="仿宋_GB2312" w:hAnsi="Times New Roman"/>
          <w:sz w:val="32"/>
          <w:szCs w:val="32"/>
        </w:rPr>
        <w:t>市、</w:t>
      </w:r>
      <w:r>
        <w:rPr>
          <w:rFonts w:ascii="Times New Roman" w:eastAsia="仿宋_GB2312" w:hAnsi="Times New Roman" w:hint="default"/>
          <w:sz w:val="32"/>
          <w:szCs w:val="32"/>
        </w:rPr>
        <w:t>县级（市、区）退役军人事务</w:t>
      </w:r>
      <w:r>
        <w:rPr>
          <w:rFonts w:ascii="Times New Roman" w:eastAsia="仿宋_GB2312" w:hAnsi="Times New Roman"/>
          <w:sz w:val="32"/>
          <w:szCs w:val="32"/>
        </w:rPr>
        <w:t>局</w:t>
      </w:r>
      <w:r>
        <w:rPr>
          <w:rFonts w:ascii="Times New Roman" w:eastAsia="仿宋_GB2312" w:hAnsi="Times New Roman" w:hint="default"/>
          <w:sz w:val="32"/>
          <w:szCs w:val="32"/>
        </w:rPr>
        <w:t>来杭公务联系用餐支出。接待</w:t>
      </w:r>
      <w:r>
        <w:rPr>
          <w:rFonts w:ascii="Times New Roman" w:eastAsia="仿宋_GB2312" w:hAnsi="Times New Roman" w:hint="default"/>
          <w:sz w:val="32"/>
          <w:szCs w:val="32"/>
        </w:rPr>
        <w:t>15</w:t>
      </w:r>
      <w:r>
        <w:rPr>
          <w:rFonts w:ascii="Times New Roman" w:eastAsia="仿宋_GB2312" w:hAnsi="Times New Roman" w:hint="default"/>
          <w:sz w:val="32"/>
          <w:szCs w:val="32"/>
        </w:rPr>
        <w:t>团组，</w:t>
      </w:r>
      <w:r>
        <w:rPr>
          <w:rFonts w:ascii="Times New Roman" w:eastAsia="仿宋_GB2312" w:hAnsi="Times New Roman" w:hint="default"/>
          <w:sz w:val="32"/>
          <w:szCs w:val="32"/>
        </w:rPr>
        <w:t>99</w:t>
      </w:r>
      <w:r>
        <w:rPr>
          <w:rFonts w:ascii="Times New Roman" w:eastAsia="仿宋_GB2312" w:hAnsi="Times New Roman" w:hint="default"/>
          <w:sz w:val="32"/>
          <w:szCs w:val="32"/>
        </w:rPr>
        <w:t>人次。</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4" w:name="_Toc3563"/>
      <w:r>
        <w:rPr>
          <w:rFonts w:ascii="Times New Roman" w:eastAsia="楷体_GB2312" w:hAnsi="Times New Roman" w:hint="default"/>
          <w:sz w:val="32"/>
          <w:szCs w:val="32"/>
        </w:rPr>
        <w:lastRenderedPageBreak/>
        <w:t>（十）机关运行经费支出说明</w:t>
      </w:r>
      <w:bookmarkEnd w:id="14"/>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年度机关运行经费年初预算数为</w:t>
      </w:r>
      <w:r>
        <w:rPr>
          <w:rFonts w:ascii="Times New Roman" w:eastAsia="仿宋_GB2312" w:hAnsi="Times New Roman" w:hint="default"/>
          <w:sz w:val="32"/>
          <w:szCs w:val="32"/>
        </w:rPr>
        <w:t>0</w:t>
      </w:r>
      <w:r>
        <w:rPr>
          <w:rFonts w:ascii="Times New Roman" w:eastAsia="仿宋_GB2312" w:hAnsi="Times New Roman" w:hint="default"/>
          <w:sz w:val="32"/>
          <w:szCs w:val="32"/>
        </w:rPr>
        <w:t>万元，支出决算为</w:t>
      </w:r>
      <w:r>
        <w:rPr>
          <w:rFonts w:ascii="Times New Roman" w:eastAsia="仿宋_GB2312" w:hAnsi="Times New Roman" w:hint="default"/>
          <w:sz w:val="32"/>
          <w:szCs w:val="32"/>
        </w:rPr>
        <w:t>0</w:t>
      </w:r>
      <w:r>
        <w:rPr>
          <w:rFonts w:ascii="Times New Roman" w:eastAsia="仿宋_GB2312" w:hAnsi="Times New Roman" w:hint="default"/>
          <w:sz w:val="32"/>
          <w:szCs w:val="32"/>
        </w:rPr>
        <w:t>万元。</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5" w:name="_Toc15760"/>
      <w:r>
        <w:rPr>
          <w:rFonts w:ascii="Times New Roman" w:eastAsia="楷体_GB2312" w:hAnsi="Times New Roman" w:hint="default"/>
          <w:sz w:val="32"/>
          <w:szCs w:val="32"/>
        </w:rPr>
        <w:t>（十一）政府采购支出说明</w:t>
      </w:r>
      <w:bookmarkEnd w:id="15"/>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2020</w:t>
      </w:r>
      <w:r>
        <w:rPr>
          <w:rFonts w:ascii="Times New Roman" w:eastAsia="仿宋_GB2312" w:hAnsi="Times New Roman" w:hint="default"/>
          <w:sz w:val="32"/>
          <w:szCs w:val="32"/>
        </w:rPr>
        <w:t>年度政府采购支出总额</w:t>
      </w:r>
      <w:r>
        <w:rPr>
          <w:rFonts w:ascii="Times New Roman" w:eastAsia="仿宋_GB2312" w:hAnsi="Times New Roman" w:hint="default"/>
          <w:sz w:val="32"/>
          <w:szCs w:val="32"/>
        </w:rPr>
        <w:t>76.10</w:t>
      </w:r>
      <w:r>
        <w:rPr>
          <w:rFonts w:ascii="Times New Roman" w:eastAsia="仿宋_GB2312" w:hAnsi="Times New Roman" w:hint="default"/>
          <w:sz w:val="32"/>
          <w:szCs w:val="32"/>
        </w:rPr>
        <w:t>万元，其中：政府采购货物支出</w:t>
      </w:r>
      <w:r>
        <w:rPr>
          <w:rFonts w:ascii="Times New Roman" w:eastAsia="仿宋_GB2312" w:hAnsi="Times New Roman" w:hint="default"/>
          <w:sz w:val="32"/>
          <w:szCs w:val="32"/>
        </w:rPr>
        <w:t>33.80</w:t>
      </w:r>
      <w:r>
        <w:rPr>
          <w:rFonts w:ascii="Times New Roman" w:eastAsia="仿宋_GB2312" w:hAnsi="Times New Roman" w:hint="default"/>
          <w:sz w:val="32"/>
          <w:szCs w:val="32"/>
        </w:rPr>
        <w:t>万元、政府采购工程支出</w:t>
      </w:r>
      <w:r>
        <w:rPr>
          <w:rFonts w:ascii="Times New Roman" w:eastAsia="仿宋_GB2312" w:hAnsi="Times New Roman" w:hint="default"/>
          <w:sz w:val="32"/>
          <w:szCs w:val="32"/>
        </w:rPr>
        <w:t>0</w:t>
      </w:r>
      <w:r>
        <w:rPr>
          <w:rFonts w:ascii="Times New Roman" w:eastAsia="仿宋_GB2312" w:hAnsi="Times New Roman" w:hint="default"/>
          <w:sz w:val="32"/>
          <w:szCs w:val="32"/>
        </w:rPr>
        <w:t>万元、政府采购服务支出</w:t>
      </w:r>
      <w:r>
        <w:rPr>
          <w:rFonts w:ascii="Times New Roman" w:eastAsia="仿宋_GB2312" w:hAnsi="Times New Roman" w:hint="default"/>
          <w:sz w:val="32"/>
          <w:szCs w:val="32"/>
        </w:rPr>
        <w:t>42.30</w:t>
      </w:r>
      <w:r>
        <w:rPr>
          <w:rFonts w:ascii="Times New Roman" w:eastAsia="仿宋_GB2312" w:hAnsi="Times New Roman" w:hint="default"/>
          <w:sz w:val="32"/>
          <w:szCs w:val="32"/>
        </w:rPr>
        <w:t>万元。授予中小企业合同金额</w:t>
      </w:r>
      <w:r>
        <w:rPr>
          <w:rFonts w:ascii="Times New Roman" w:eastAsia="仿宋_GB2312" w:hAnsi="Times New Roman" w:hint="default"/>
          <w:sz w:val="32"/>
          <w:szCs w:val="32"/>
        </w:rPr>
        <w:t>75.64</w:t>
      </w:r>
      <w:r>
        <w:rPr>
          <w:rFonts w:ascii="Times New Roman" w:eastAsia="仿宋_GB2312" w:hAnsi="Times New Roman" w:hint="default"/>
          <w:sz w:val="32"/>
          <w:szCs w:val="32"/>
        </w:rPr>
        <w:t>万元，占政府采购支出总额的</w:t>
      </w:r>
      <w:r>
        <w:rPr>
          <w:rFonts w:ascii="Times New Roman" w:eastAsia="仿宋_GB2312" w:hAnsi="Times New Roman" w:hint="default"/>
          <w:sz w:val="32"/>
          <w:szCs w:val="32"/>
        </w:rPr>
        <w:t>99.39%</w:t>
      </w:r>
      <w:r>
        <w:rPr>
          <w:rFonts w:ascii="Times New Roman" w:eastAsia="仿宋_GB2312" w:hAnsi="Times New Roman" w:hint="default"/>
          <w:sz w:val="32"/>
          <w:szCs w:val="32"/>
        </w:rPr>
        <w:t>。其中，授予小微企业合同金额</w:t>
      </w:r>
      <w:r>
        <w:rPr>
          <w:rFonts w:ascii="Times New Roman" w:eastAsia="仿宋_GB2312" w:hAnsi="Times New Roman" w:hint="default"/>
          <w:sz w:val="32"/>
          <w:szCs w:val="32"/>
        </w:rPr>
        <w:t>58.22</w:t>
      </w:r>
      <w:r>
        <w:rPr>
          <w:rFonts w:ascii="Times New Roman" w:eastAsia="仿宋_GB2312" w:hAnsi="Times New Roman" w:hint="default"/>
          <w:sz w:val="32"/>
          <w:szCs w:val="32"/>
        </w:rPr>
        <w:t>万元，占政府采购支出总额的</w:t>
      </w:r>
      <w:r>
        <w:rPr>
          <w:rFonts w:ascii="Times New Roman" w:eastAsia="仿宋_GB2312" w:hAnsi="Times New Roman" w:hint="default"/>
          <w:sz w:val="32"/>
          <w:szCs w:val="32"/>
        </w:rPr>
        <w:t>76.51%</w:t>
      </w:r>
      <w:r>
        <w:rPr>
          <w:rFonts w:ascii="Times New Roman" w:eastAsia="仿宋_GB2312" w:hAnsi="Times New Roman" w:hint="default"/>
          <w:sz w:val="32"/>
          <w:szCs w:val="32"/>
        </w:rPr>
        <w:t>。</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6" w:name="_Toc625"/>
      <w:r>
        <w:rPr>
          <w:rFonts w:ascii="Times New Roman" w:eastAsia="楷体_GB2312" w:hAnsi="Times New Roman" w:hint="default"/>
          <w:sz w:val="32"/>
          <w:szCs w:val="32"/>
        </w:rPr>
        <w:t>（十二）国有资产占有情况说明</w:t>
      </w:r>
      <w:bookmarkEnd w:id="16"/>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截至</w:t>
      </w:r>
      <w:r>
        <w:rPr>
          <w:rFonts w:ascii="Times New Roman" w:eastAsia="仿宋_GB2312" w:hAnsi="Times New Roman" w:hint="default"/>
          <w:sz w:val="32"/>
          <w:szCs w:val="32"/>
        </w:rPr>
        <w:t>2020</w:t>
      </w:r>
      <w:r>
        <w:rPr>
          <w:rFonts w:ascii="Times New Roman" w:eastAsia="仿宋_GB2312" w:hAnsi="Times New Roman" w:hint="default"/>
          <w:sz w:val="32"/>
          <w:szCs w:val="32"/>
        </w:rPr>
        <w:t>年</w:t>
      </w:r>
      <w:r>
        <w:rPr>
          <w:rFonts w:ascii="Times New Roman" w:eastAsia="仿宋_GB2312" w:hAnsi="Times New Roman" w:hint="default"/>
          <w:sz w:val="32"/>
          <w:szCs w:val="32"/>
        </w:rPr>
        <w:t>12</w:t>
      </w:r>
      <w:r>
        <w:rPr>
          <w:rFonts w:ascii="Times New Roman" w:eastAsia="仿宋_GB2312" w:hAnsi="Times New Roman" w:hint="default"/>
          <w:sz w:val="32"/>
          <w:szCs w:val="32"/>
        </w:rPr>
        <w:t>月</w:t>
      </w:r>
      <w:r>
        <w:rPr>
          <w:rFonts w:ascii="Times New Roman" w:eastAsia="仿宋_GB2312" w:hAnsi="Times New Roman" w:hint="default"/>
          <w:sz w:val="32"/>
          <w:szCs w:val="32"/>
        </w:rPr>
        <w:t>31</w:t>
      </w:r>
      <w:r>
        <w:rPr>
          <w:rFonts w:ascii="Times New Roman" w:eastAsia="仿宋_GB2312" w:hAnsi="Times New Roman" w:hint="default"/>
          <w:sz w:val="32"/>
          <w:szCs w:val="32"/>
        </w:rPr>
        <w:t>日，浙江省退役军人服务中心共有车辆</w:t>
      </w:r>
      <w:r>
        <w:rPr>
          <w:rFonts w:ascii="Times New Roman" w:eastAsia="仿宋_GB2312" w:hAnsi="Times New Roman" w:hint="default"/>
          <w:sz w:val="32"/>
          <w:szCs w:val="32"/>
        </w:rPr>
        <w:t>1</w:t>
      </w:r>
      <w:r>
        <w:rPr>
          <w:rFonts w:ascii="Times New Roman" w:eastAsia="仿宋_GB2312" w:hAnsi="Times New Roman" w:hint="default"/>
          <w:sz w:val="32"/>
          <w:szCs w:val="32"/>
        </w:rPr>
        <w:t>辆，其中，副部（省）级及以上领导用车</w:t>
      </w:r>
      <w:r>
        <w:rPr>
          <w:rFonts w:ascii="Times New Roman" w:eastAsia="仿宋_GB2312" w:hAnsi="Times New Roman" w:hint="default"/>
          <w:sz w:val="32"/>
          <w:szCs w:val="32"/>
        </w:rPr>
        <w:t>0</w:t>
      </w:r>
      <w:r>
        <w:rPr>
          <w:rFonts w:ascii="Times New Roman" w:eastAsia="仿宋_GB2312" w:hAnsi="Times New Roman" w:hint="default"/>
          <w:sz w:val="32"/>
          <w:szCs w:val="32"/>
        </w:rPr>
        <w:t>辆、主要领导干部用车</w:t>
      </w:r>
      <w:r>
        <w:rPr>
          <w:rFonts w:ascii="Times New Roman" w:eastAsia="仿宋_GB2312" w:hAnsi="Times New Roman" w:hint="default"/>
          <w:sz w:val="32"/>
          <w:szCs w:val="32"/>
        </w:rPr>
        <w:t>0</w:t>
      </w:r>
      <w:r>
        <w:rPr>
          <w:rFonts w:ascii="Times New Roman" w:eastAsia="仿宋_GB2312" w:hAnsi="Times New Roman" w:hint="default"/>
          <w:sz w:val="32"/>
          <w:szCs w:val="32"/>
        </w:rPr>
        <w:t>辆、机要通信用车</w:t>
      </w:r>
      <w:r>
        <w:rPr>
          <w:rFonts w:ascii="Times New Roman" w:eastAsia="仿宋_GB2312" w:hAnsi="Times New Roman" w:hint="default"/>
          <w:sz w:val="32"/>
          <w:szCs w:val="32"/>
        </w:rPr>
        <w:t>0</w:t>
      </w:r>
      <w:r>
        <w:rPr>
          <w:rFonts w:ascii="Times New Roman" w:eastAsia="仿宋_GB2312" w:hAnsi="Times New Roman" w:hint="default"/>
          <w:sz w:val="32"/>
          <w:szCs w:val="32"/>
        </w:rPr>
        <w:t>辆、应急保障用车</w:t>
      </w:r>
      <w:r>
        <w:rPr>
          <w:rFonts w:ascii="Times New Roman" w:eastAsia="仿宋_GB2312" w:hAnsi="Times New Roman" w:hint="default"/>
          <w:sz w:val="32"/>
          <w:szCs w:val="32"/>
        </w:rPr>
        <w:t>0</w:t>
      </w:r>
      <w:r>
        <w:rPr>
          <w:rFonts w:ascii="Times New Roman" w:eastAsia="仿宋_GB2312" w:hAnsi="Times New Roman" w:hint="default"/>
          <w:sz w:val="32"/>
          <w:szCs w:val="32"/>
        </w:rPr>
        <w:t>辆、执法执勤用车</w:t>
      </w:r>
      <w:r>
        <w:rPr>
          <w:rFonts w:ascii="Times New Roman" w:eastAsia="仿宋_GB2312" w:hAnsi="Times New Roman" w:hint="default"/>
          <w:sz w:val="32"/>
          <w:szCs w:val="32"/>
        </w:rPr>
        <w:t>0</w:t>
      </w:r>
      <w:r>
        <w:rPr>
          <w:rFonts w:ascii="Times New Roman" w:eastAsia="仿宋_GB2312" w:hAnsi="Times New Roman" w:hint="default"/>
          <w:sz w:val="32"/>
          <w:szCs w:val="32"/>
        </w:rPr>
        <w:t>辆、特种专业技术用车</w:t>
      </w:r>
      <w:r>
        <w:rPr>
          <w:rFonts w:ascii="Times New Roman" w:eastAsia="仿宋_GB2312" w:hAnsi="Times New Roman" w:hint="default"/>
          <w:sz w:val="32"/>
          <w:szCs w:val="32"/>
        </w:rPr>
        <w:t>0</w:t>
      </w:r>
      <w:r>
        <w:rPr>
          <w:rFonts w:ascii="Times New Roman" w:eastAsia="仿宋_GB2312" w:hAnsi="Times New Roman" w:hint="default"/>
          <w:sz w:val="32"/>
          <w:szCs w:val="32"/>
        </w:rPr>
        <w:t>辆、离退休干部用车</w:t>
      </w:r>
      <w:r>
        <w:rPr>
          <w:rFonts w:ascii="Times New Roman" w:eastAsia="仿宋_GB2312" w:hAnsi="Times New Roman" w:hint="default"/>
          <w:sz w:val="32"/>
          <w:szCs w:val="32"/>
        </w:rPr>
        <w:t>0</w:t>
      </w:r>
      <w:r>
        <w:rPr>
          <w:rFonts w:ascii="Times New Roman" w:eastAsia="仿宋_GB2312" w:hAnsi="Times New Roman" w:hint="default"/>
          <w:sz w:val="32"/>
          <w:szCs w:val="32"/>
        </w:rPr>
        <w:t>辆、其他用车</w:t>
      </w:r>
      <w:r>
        <w:rPr>
          <w:rFonts w:ascii="Times New Roman" w:eastAsia="仿宋_GB2312" w:hAnsi="Times New Roman" w:hint="default"/>
          <w:sz w:val="32"/>
          <w:szCs w:val="32"/>
        </w:rPr>
        <w:t>1</w:t>
      </w:r>
      <w:r>
        <w:rPr>
          <w:rFonts w:ascii="Times New Roman" w:eastAsia="仿宋_GB2312" w:hAnsi="Times New Roman" w:hint="default"/>
          <w:sz w:val="32"/>
          <w:szCs w:val="32"/>
        </w:rPr>
        <w:t>辆</w:t>
      </w:r>
      <w:r>
        <w:rPr>
          <w:rFonts w:ascii="Times New Roman" w:eastAsia="仿宋_GB2312" w:hAnsi="Times New Roman" w:hint="default"/>
          <w:sz w:val="32"/>
          <w:szCs w:val="32"/>
        </w:rPr>
        <w:t>,</w:t>
      </w:r>
      <w:r>
        <w:rPr>
          <w:rFonts w:ascii="Times New Roman" w:eastAsia="仿宋_GB2312" w:hAnsi="Times New Roman" w:hint="default"/>
          <w:sz w:val="32"/>
          <w:szCs w:val="32"/>
        </w:rPr>
        <w:t>其他用车主要是业务用车；单价</w:t>
      </w:r>
      <w:r>
        <w:rPr>
          <w:rFonts w:ascii="Times New Roman" w:eastAsia="仿宋_GB2312" w:hAnsi="Times New Roman" w:hint="default"/>
          <w:sz w:val="32"/>
          <w:szCs w:val="32"/>
        </w:rPr>
        <w:t>50</w:t>
      </w:r>
      <w:r>
        <w:rPr>
          <w:rFonts w:ascii="Times New Roman" w:eastAsia="仿宋_GB2312" w:hAnsi="Times New Roman" w:hint="default"/>
          <w:sz w:val="32"/>
          <w:szCs w:val="32"/>
        </w:rPr>
        <w:t>万元以上通用设备</w:t>
      </w:r>
      <w:r>
        <w:rPr>
          <w:rFonts w:ascii="Times New Roman" w:eastAsia="仿宋_GB2312" w:hAnsi="Times New Roman" w:hint="default"/>
          <w:sz w:val="32"/>
          <w:szCs w:val="32"/>
        </w:rPr>
        <w:t>0</w:t>
      </w:r>
      <w:r>
        <w:rPr>
          <w:rFonts w:ascii="Times New Roman" w:eastAsia="仿宋_GB2312" w:hAnsi="Times New Roman" w:hint="default"/>
          <w:sz w:val="32"/>
          <w:szCs w:val="32"/>
        </w:rPr>
        <w:t>台（套），单价</w:t>
      </w:r>
      <w:r>
        <w:rPr>
          <w:rFonts w:ascii="Times New Roman" w:eastAsia="仿宋_GB2312" w:hAnsi="Times New Roman" w:hint="default"/>
          <w:sz w:val="32"/>
          <w:szCs w:val="32"/>
        </w:rPr>
        <w:t>100</w:t>
      </w:r>
      <w:r>
        <w:rPr>
          <w:rFonts w:ascii="Times New Roman" w:eastAsia="仿宋_GB2312" w:hAnsi="Times New Roman" w:hint="default"/>
          <w:sz w:val="32"/>
          <w:szCs w:val="32"/>
        </w:rPr>
        <w:t>万元以上专用设备</w:t>
      </w:r>
      <w:r>
        <w:rPr>
          <w:rFonts w:ascii="Times New Roman" w:eastAsia="仿宋_GB2312" w:hAnsi="Times New Roman" w:hint="default"/>
          <w:sz w:val="32"/>
          <w:szCs w:val="32"/>
        </w:rPr>
        <w:t>0</w:t>
      </w:r>
      <w:r>
        <w:rPr>
          <w:rFonts w:ascii="Times New Roman" w:eastAsia="仿宋_GB2312" w:hAnsi="Times New Roman" w:hint="default"/>
          <w:sz w:val="32"/>
          <w:szCs w:val="32"/>
        </w:rPr>
        <w:t>台（套）。</w:t>
      </w:r>
      <w:r>
        <w:rPr>
          <w:rFonts w:ascii="Times New Roman" w:eastAsia="仿宋_GB2312" w:hAnsi="Times New Roman" w:hint="default"/>
          <w:sz w:val="32"/>
          <w:szCs w:val="32"/>
        </w:rPr>
        <w:t xml:space="preserve"> </w:t>
      </w:r>
    </w:p>
    <w:p w:rsidR="009555FD" w:rsidRDefault="00BE3E8C">
      <w:pPr>
        <w:spacing w:line="560" w:lineRule="exact"/>
        <w:ind w:firstLineChars="200" w:firstLine="640"/>
        <w:outlineLvl w:val="1"/>
        <w:rPr>
          <w:rFonts w:ascii="Times New Roman" w:eastAsia="楷体_GB2312" w:hAnsi="Times New Roman" w:hint="default"/>
          <w:sz w:val="32"/>
          <w:szCs w:val="32"/>
        </w:rPr>
      </w:pPr>
      <w:bookmarkStart w:id="17" w:name="_Toc6735"/>
      <w:r>
        <w:rPr>
          <w:rFonts w:ascii="Times New Roman" w:eastAsia="楷体_GB2312" w:hAnsi="Times New Roman" w:hint="default"/>
          <w:sz w:val="32"/>
          <w:szCs w:val="32"/>
        </w:rPr>
        <w:t>（十三）预算绩效情况说明</w:t>
      </w:r>
      <w:bookmarkEnd w:id="17"/>
    </w:p>
    <w:p w:rsidR="009555FD" w:rsidRDefault="00BE3E8C">
      <w:pPr>
        <w:spacing w:line="560" w:lineRule="exact"/>
        <w:ind w:firstLineChars="200" w:firstLine="643"/>
        <w:jc w:val="both"/>
        <w:rPr>
          <w:rFonts w:ascii="Times New Roman" w:eastAsia="仿宋_GB2312" w:hAnsi="Times New Roman" w:hint="default"/>
          <w:b/>
          <w:sz w:val="32"/>
          <w:szCs w:val="32"/>
        </w:rPr>
      </w:pPr>
      <w:r>
        <w:rPr>
          <w:rFonts w:ascii="Times New Roman" w:eastAsia="仿宋_GB2312" w:hAnsi="Times New Roman" w:hint="default"/>
          <w:b/>
          <w:sz w:val="32"/>
          <w:szCs w:val="32"/>
        </w:rPr>
        <w:t>1.</w:t>
      </w:r>
      <w:r>
        <w:rPr>
          <w:rFonts w:ascii="Times New Roman" w:eastAsia="仿宋_GB2312" w:hAnsi="Times New Roman" w:hint="default"/>
          <w:b/>
          <w:sz w:val="32"/>
          <w:szCs w:val="32"/>
        </w:rPr>
        <w:t>预算绩效管理工作开展情况。</w:t>
      </w:r>
      <w:r>
        <w:rPr>
          <w:rFonts w:ascii="Times New Roman" w:eastAsia="仿宋_GB2312" w:hAnsi="Times New Roman" w:hint="default"/>
          <w:b/>
          <w:sz w:val="32"/>
          <w:szCs w:val="32"/>
        </w:rPr>
        <w:t xml:space="preserve"> </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根据预算绩效管理要求，浙江省退役军人事务厅组织对</w:t>
      </w:r>
      <w:r>
        <w:rPr>
          <w:rFonts w:ascii="Times New Roman" w:eastAsia="仿宋_GB2312" w:hAnsi="Times New Roman" w:hint="default"/>
          <w:sz w:val="32"/>
          <w:szCs w:val="32"/>
        </w:rPr>
        <w:t>2020</w:t>
      </w:r>
      <w:r>
        <w:rPr>
          <w:rFonts w:ascii="Times New Roman" w:eastAsia="仿宋_GB2312" w:hAnsi="Times New Roman" w:hint="default"/>
          <w:sz w:val="32"/>
          <w:szCs w:val="32"/>
        </w:rPr>
        <w:t>年度一般公共预算项目支出全面开展绩效自评，其中，一</w:t>
      </w:r>
      <w:r>
        <w:rPr>
          <w:rFonts w:ascii="Times New Roman" w:eastAsia="仿宋_GB2312" w:hAnsi="Times New Roman" w:hint="default"/>
          <w:sz w:val="32"/>
          <w:szCs w:val="32"/>
        </w:rPr>
        <w:lastRenderedPageBreak/>
        <w:t>级项目</w:t>
      </w:r>
      <w:r>
        <w:rPr>
          <w:rFonts w:ascii="Times New Roman" w:eastAsia="仿宋_GB2312" w:hAnsi="Times New Roman" w:hint="default"/>
          <w:sz w:val="32"/>
          <w:szCs w:val="32"/>
        </w:rPr>
        <w:t>1</w:t>
      </w:r>
      <w:r>
        <w:rPr>
          <w:rFonts w:ascii="Times New Roman" w:eastAsia="仿宋_GB2312" w:hAnsi="Times New Roman" w:hint="default"/>
          <w:sz w:val="32"/>
          <w:szCs w:val="32"/>
        </w:rPr>
        <w:t>个，二级项目</w:t>
      </w:r>
      <w:r>
        <w:rPr>
          <w:rFonts w:ascii="Times New Roman" w:eastAsia="仿宋_GB2312" w:hAnsi="Times New Roman" w:hint="default"/>
          <w:sz w:val="32"/>
          <w:szCs w:val="32"/>
        </w:rPr>
        <w:t>4</w:t>
      </w:r>
      <w:r>
        <w:rPr>
          <w:rFonts w:ascii="Times New Roman" w:eastAsia="仿宋_GB2312" w:hAnsi="Times New Roman" w:hint="default"/>
          <w:sz w:val="32"/>
          <w:szCs w:val="32"/>
        </w:rPr>
        <w:t>个，共涉及资金</w:t>
      </w:r>
      <w:r>
        <w:rPr>
          <w:rFonts w:ascii="Times New Roman" w:eastAsia="仿宋_GB2312" w:hAnsi="Times New Roman" w:hint="default"/>
          <w:sz w:val="32"/>
          <w:szCs w:val="32"/>
        </w:rPr>
        <w:t>88.81</w:t>
      </w:r>
      <w:r>
        <w:rPr>
          <w:rFonts w:ascii="Times New Roman" w:eastAsia="仿宋_GB2312" w:hAnsi="Times New Roman" w:hint="default"/>
          <w:sz w:val="32"/>
          <w:szCs w:val="32"/>
        </w:rPr>
        <w:t>万元，占一般公共预算项目支出总额的</w:t>
      </w:r>
      <w:r>
        <w:rPr>
          <w:rFonts w:ascii="Times New Roman" w:eastAsia="仿宋_GB2312" w:hAnsi="Times New Roman" w:hint="default"/>
          <w:sz w:val="32"/>
          <w:szCs w:val="32"/>
        </w:rPr>
        <w:t>100%</w:t>
      </w:r>
      <w:r>
        <w:rPr>
          <w:rFonts w:ascii="Times New Roman" w:eastAsia="仿宋_GB2312" w:hAnsi="Times New Roman" w:hint="default"/>
          <w:sz w:val="32"/>
          <w:szCs w:val="32"/>
        </w:rPr>
        <w:t>。本年无政府性基金预算项目。</w:t>
      </w:r>
      <w:r>
        <w:rPr>
          <w:rFonts w:ascii="Times New Roman" w:eastAsia="仿宋_GB2312" w:hAnsi="Times New Roman" w:hint="default"/>
          <w:sz w:val="32"/>
          <w:szCs w:val="32"/>
        </w:rPr>
        <w:t xml:space="preserve"> </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组织对</w:t>
      </w:r>
      <w:r>
        <w:rPr>
          <w:rFonts w:ascii="Times New Roman" w:eastAsia="仿宋_GB2312" w:hAnsi="Times New Roman" w:hint="default"/>
          <w:sz w:val="32"/>
          <w:szCs w:val="32"/>
        </w:rPr>
        <w:t>“</w:t>
      </w:r>
      <w:r>
        <w:rPr>
          <w:rFonts w:ascii="Times New Roman" w:eastAsia="仿宋_GB2312" w:hAnsi="Times New Roman" w:hint="default"/>
          <w:sz w:val="32"/>
          <w:szCs w:val="32"/>
        </w:rPr>
        <w:t>退役军人咨询服务</w:t>
      </w:r>
      <w:r>
        <w:rPr>
          <w:rFonts w:ascii="Times New Roman" w:eastAsia="仿宋_GB2312" w:hAnsi="Times New Roman" w:hint="default"/>
          <w:sz w:val="32"/>
          <w:szCs w:val="32"/>
        </w:rPr>
        <w:t>”</w:t>
      </w:r>
      <w:r>
        <w:rPr>
          <w:rFonts w:ascii="Times New Roman" w:eastAsia="仿宋_GB2312" w:hAnsi="Times New Roman"/>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服务中心宣传及印刷</w:t>
      </w:r>
      <w:r>
        <w:rPr>
          <w:rFonts w:ascii="Times New Roman" w:eastAsia="仿宋_GB2312" w:hAnsi="Times New Roman" w:hint="default"/>
          <w:sz w:val="32"/>
          <w:szCs w:val="32"/>
        </w:rPr>
        <w:t>” 2</w:t>
      </w:r>
      <w:r>
        <w:rPr>
          <w:rFonts w:ascii="Times New Roman" w:eastAsia="仿宋_GB2312" w:hAnsi="Times New Roman" w:hint="default"/>
          <w:sz w:val="32"/>
          <w:szCs w:val="32"/>
        </w:rPr>
        <w:t>个项目开展了部门评价，涉及一般公共预算支出</w:t>
      </w:r>
      <w:r>
        <w:rPr>
          <w:rFonts w:ascii="Times New Roman" w:eastAsia="仿宋_GB2312" w:hAnsi="Times New Roman" w:hint="default"/>
          <w:sz w:val="32"/>
          <w:szCs w:val="32"/>
        </w:rPr>
        <w:t>66.23</w:t>
      </w:r>
      <w:r>
        <w:rPr>
          <w:rFonts w:ascii="Times New Roman" w:eastAsia="仿宋_GB2312" w:hAnsi="Times New Roman" w:hint="default"/>
          <w:sz w:val="32"/>
          <w:szCs w:val="32"/>
        </w:rPr>
        <w:t>万元，政府性基金预算支出</w:t>
      </w:r>
      <w:r>
        <w:rPr>
          <w:rFonts w:ascii="Times New Roman" w:eastAsia="仿宋_GB2312" w:hAnsi="Times New Roman" w:hint="default"/>
          <w:sz w:val="32"/>
          <w:szCs w:val="32"/>
        </w:rPr>
        <w:t>0</w:t>
      </w:r>
      <w:r>
        <w:rPr>
          <w:rFonts w:ascii="Times New Roman" w:eastAsia="仿宋_GB2312" w:hAnsi="Times New Roman" w:hint="default"/>
          <w:sz w:val="32"/>
          <w:szCs w:val="32"/>
        </w:rPr>
        <w:t>万元。其中，对</w:t>
      </w:r>
      <w:r>
        <w:rPr>
          <w:rFonts w:ascii="Times New Roman" w:eastAsia="仿宋_GB2312" w:hAnsi="Times New Roman" w:hint="default"/>
          <w:sz w:val="32"/>
          <w:szCs w:val="32"/>
        </w:rPr>
        <w:t>“</w:t>
      </w:r>
      <w:r>
        <w:rPr>
          <w:rFonts w:ascii="Times New Roman" w:eastAsia="仿宋_GB2312" w:hAnsi="Times New Roman" w:hint="default"/>
          <w:sz w:val="32"/>
          <w:szCs w:val="32"/>
        </w:rPr>
        <w:t>退役军人咨询服务</w:t>
      </w:r>
      <w:r>
        <w:rPr>
          <w:rFonts w:ascii="Times New Roman" w:eastAsia="仿宋_GB2312" w:hAnsi="Times New Roman" w:hint="default"/>
          <w:sz w:val="32"/>
          <w:szCs w:val="32"/>
        </w:rPr>
        <w:t>”</w:t>
      </w:r>
      <w:r>
        <w:rPr>
          <w:rFonts w:ascii="Times New Roman" w:eastAsia="仿宋_GB2312" w:hAnsi="Times New Roman"/>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服务中心宣传及印刷</w:t>
      </w:r>
      <w:r>
        <w:rPr>
          <w:rFonts w:ascii="Times New Roman" w:eastAsia="仿宋_GB2312" w:hAnsi="Times New Roman" w:hint="default"/>
          <w:sz w:val="32"/>
          <w:szCs w:val="32"/>
        </w:rPr>
        <w:t>”2</w:t>
      </w:r>
      <w:r>
        <w:rPr>
          <w:rFonts w:ascii="Times New Roman" w:eastAsia="仿宋_GB2312" w:hAnsi="Times New Roman" w:hint="default"/>
          <w:sz w:val="32"/>
          <w:szCs w:val="32"/>
        </w:rPr>
        <w:t>个项目分别委托</w:t>
      </w:r>
      <w:r>
        <w:rPr>
          <w:rFonts w:ascii="Times New Roman" w:eastAsia="仿宋_GB2312" w:hAnsi="Times New Roman" w:hint="default"/>
          <w:sz w:val="32"/>
          <w:szCs w:val="32"/>
        </w:rPr>
        <w:t>“</w:t>
      </w:r>
      <w:r>
        <w:rPr>
          <w:rFonts w:ascii="Times New Roman" w:eastAsia="仿宋_GB2312" w:hAnsi="Times New Roman" w:hint="default"/>
          <w:sz w:val="32"/>
          <w:szCs w:val="32"/>
        </w:rPr>
        <w:t>浙江普华会计师事务所有限公司</w:t>
      </w:r>
      <w:r>
        <w:rPr>
          <w:rFonts w:ascii="Times New Roman" w:eastAsia="仿宋_GB2312" w:hAnsi="Times New Roman" w:hint="default"/>
          <w:sz w:val="32"/>
          <w:szCs w:val="32"/>
        </w:rPr>
        <w:t>”</w:t>
      </w:r>
      <w:r>
        <w:rPr>
          <w:rFonts w:ascii="Times New Roman" w:eastAsia="仿宋_GB2312" w:hAnsi="Times New Roman" w:hint="default"/>
          <w:sz w:val="32"/>
          <w:szCs w:val="32"/>
        </w:rPr>
        <w:t>第三方机构开展绩效评价。从评价情况来看，</w:t>
      </w:r>
      <w:r>
        <w:rPr>
          <w:rFonts w:ascii="Times New Roman" w:eastAsia="仿宋_GB2312" w:hAnsi="Times New Roman" w:hint="default"/>
          <w:sz w:val="32"/>
          <w:szCs w:val="32"/>
        </w:rPr>
        <w:t>2</w:t>
      </w:r>
      <w:r>
        <w:rPr>
          <w:rFonts w:ascii="Times New Roman" w:eastAsia="仿宋_GB2312" w:hAnsi="Times New Roman" w:hint="default"/>
          <w:sz w:val="32"/>
          <w:szCs w:val="32"/>
        </w:rPr>
        <w:t>个项目绩效评价结果为优。</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本年无</w:t>
      </w:r>
      <w:r>
        <w:rPr>
          <w:rFonts w:ascii="Times New Roman" w:eastAsia="仿宋_GB2312" w:hAnsi="Times New Roman"/>
          <w:sz w:val="32"/>
          <w:szCs w:val="32"/>
        </w:rPr>
        <w:t>单位</w:t>
      </w:r>
      <w:r>
        <w:rPr>
          <w:rFonts w:ascii="Times New Roman" w:eastAsia="仿宋_GB2312" w:hAnsi="Times New Roman" w:hint="default"/>
          <w:sz w:val="32"/>
          <w:szCs w:val="32"/>
        </w:rPr>
        <w:t>整体支出绩效评价。</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本年无下属部门或单位整体支出绩效评价。</w:t>
      </w:r>
    </w:p>
    <w:p w:rsidR="009555FD" w:rsidRDefault="00BE3E8C">
      <w:pPr>
        <w:spacing w:line="560" w:lineRule="exact"/>
        <w:ind w:firstLineChars="200" w:firstLine="643"/>
        <w:jc w:val="both"/>
        <w:rPr>
          <w:rFonts w:ascii="Times New Roman" w:eastAsia="仿宋_GB2312" w:hAnsi="Times New Roman" w:hint="default"/>
          <w:b/>
          <w:sz w:val="32"/>
          <w:szCs w:val="32"/>
        </w:rPr>
      </w:pPr>
      <w:r>
        <w:rPr>
          <w:rFonts w:ascii="Times New Roman" w:eastAsia="仿宋_GB2312" w:hAnsi="Times New Roman" w:hint="default"/>
          <w:b/>
          <w:sz w:val="32"/>
          <w:szCs w:val="32"/>
        </w:rPr>
        <w:t>2.</w:t>
      </w:r>
      <w:r>
        <w:rPr>
          <w:rFonts w:ascii="Times New Roman" w:eastAsia="仿宋_GB2312" w:hAnsi="Times New Roman" w:hint="default"/>
          <w:b/>
          <w:sz w:val="32"/>
          <w:szCs w:val="32"/>
        </w:rPr>
        <w:t>单位决算</w:t>
      </w:r>
      <w:r w:rsidR="006A6972">
        <w:rPr>
          <w:rFonts w:ascii="Times New Roman" w:eastAsia="仿宋_GB2312" w:hAnsi="Times New Roman"/>
          <w:b/>
          <w:sz w:val="32"/>
          <w:szCs w:val="32"/>
        </w:rPr>
        <w:t>中项目</w:t>
      </w:r>
      <w:r>
        <w:rPr>
          <w:rFonts w:ascii="Times New Roman" w:eastAsia="仿宋_GB2312" w:hAnsi="Times New Roman" w:hint="default"/>
          <w:b/>
          <w:sz w:val="32"/>
          <w:szCs w:val="32"/>
        </w:rPr>
        <w:t>绩效自评结果。</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浙江省退役军人服务中心在</w:t>
      </w:r>
      <w:r>
        <w:rPr>
          <w:rFonts w:ascii="Times New Roman" w:eastAsia="仿宋_GB2312" w:hAnsi="Times New Roman" w:hint="default"/>
          <w:sz w:val="32"/>
          <w:szCs w:val="32"/>
        </w:rPr>
        <w:t>2020</w:t>
      </w:r>
      <w:r>
        <w:rPr>
          <w:rFonts w:ascii="Times New Roman" w:eastAsia="仿宋_GB2312" w:hAnsi="Times New Roman" w:hint="default"/>
          <w:sz w:val="32"/>
          <w:szCs w:val="32"/>
        </w:rPr>
        <w:t>年度单位决算中反映</w:t>
      </w:r>
      <w:r>
        <w:rPr>
          <w:rFonts w:ascii="Times New Roman" w:eastAsia="仿宋_GB2312" w:hAnsi="Times New Roman" w:hint="default"/>
          <w:sz w:val="32"/>
          <w:szCs w:val="32"/>
        </w:rPr>
        <w:t>“</w:t>
      </w:r>
      <w:r>
        <w:rPr>
          <w:rFonts w:ascii="Times New Roman" w:eastAsia="仿宋_GB2312" w:hAnsi="Times New Roman" w:hint="default"/>
          <w:sz w:val="32"/>
          <w:szCs w:val="32"/>
        </w:rPr>
        <w:t>退役军人咨询服务</w:t>
      </w:r>
      <w:r>
        <w:rPr>
          <w:rFonts w:ascii="Times New Roman" w:eastAsia="仿宋_GB2312" w:hAnsi="Times New Roman" w:hint="default"/>
          <w:sz w:val="32"/>
          <w:szCs w:val="32"/>
        </w:rPr>
        <w:t>”</w:t>
      </w:r>
      <w:r>
        <w:rPr>
          <w:rFonts w:ascii="Times New Roman" w:eastAsia="仿宋_GB2312" w:hAnsi="Times New Roman" w:hint="default"/>
          <w:sz w:val="32"/>
          <w:szCs w:val="32"/>
        </w:rPr>
        <w:t>项目绩效自评结果。</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退役军人咨询服务</w:t>
      </w:r>
      <w:r>
        <w:rPr>
          <w:rFonts w:ascii="Times New Roman" w:eastAsia="仿宋_GB2312" w:hAnsi="Times New Roman" w:hint="default"/>
          <w:sz w:val="32"/>
          <w:szCs w:val="32"/>
        </w:rPr>
        <w:t>”</w:t>
      </w:r>
      <w:r>
        <w:rPr>
          <w:rFonts w:ascii="Times New Roman" w:eastAsia="仿宋_GB2312" w:hAnsi="Times New Roman" w:hint="default"/>
          <w:sz w:val="32"/>
          <w:szCs w:val="32"/>
        </w:rPr>
        <w:t>项目绩效自评综述：根据年初设定的绩效目标，项目自评得分</w:t>
      </w:r>
      <w:r>
        <w:rPr>
          <w:rFonts w:ascii="Times New Roman" w:eastAsia="仿宋_GB2312" w:hAnsi="Times New Roman" w:hint="default"/>
          <w:sz w:val="32"/>
          <w:szCs w:val="32"/>
        </w:rPr>
        <w:t>96</w:t>
      </w:r>
      <w:r>
        <w:rPr>
          <w:rFonts w:ascii="Times New Roman" w:eastAsia="仿宋_GB2312" w:hAnsi="Times New Roman" w:hint="default"/>
          <w:sz w:val="32"/>
          <w:szCs w:val="32"/>
        </w:rPr>
        <w:t>分，自评结论为</w:t>
      </w:r>
      <w:r>
        <w:rPr>
          <w:rFonts w:ascii="Times New Roman" w:eastAsia="仿宋_GB2312" w:hAnsi="Times New Roman" w:hint="default"/>
          <w:sz w:val="32"/>
          <w:szCs w:val="32"/>
        </w:rPr>
        <w:t>“</w:t>
      </w:r>
      <w:r>
        <w:rPr>
          <w:rFonts w:ascii="Times New Roman" w:eastAsia="仿宋_GB2312" w:hAnsi="Times New Roman" w:hint="default"/>
          <w:sz w:val="32"/>
          <w:szCs w:val="32"/>
        </w:rPr>
        <w:t>优</w:t>
      </w:r>
      <w:r>
        <w:rPr>
          <w:rFonts w:ascii="Times New Roman" w:eastAsia="仿宋_GB2312" w:hAnsi="Times New Roman" w:hint="default"/>
          <w:sz w:val="32"/>
          <w:szCs w:val="32"/>
        </w:rPr>
        <w:t>”</w:t>
      </w:r>
      <w:r>
        <w:rPr>
          <w:rFonts w:ascii="Times New Roman" w:eastAsia="仿宋_GB2312" w:hAnsi="Times New Roman" w:hint="default"/>
          <w:sz w:val="32"/>
          <w:szCs w:val="32"/>
        </w:rPr>
        <w:t>。项目全年预算数为</w:t>
      </w:r>
      <w:r>
        <w:rPr>
          <w:rFonts w:ascii="Times New Roman" w:eastAsia="仿宋_GB2312" w:hAnsi="Times New Roman" w:hint="default"/>
          <w:sz w:val="32"/>
          <w:szCs w:val="32"/>
        </w:rPr>
        <w:t>40.30</w:t>
      </w:r>
      <w:r>
        <w:rPr>
          <w:rFonts w:ascii="Times New Roman" w:eastAsia="仿宋_GB2312" w:hAnsi="Times New Roman" w:hint="default"/>
          <w:sz w:val="32"/>
          <w:szCs w:val="32"/>
        </w:rPr>
        <w:t>万元，执行数为</w:t>
      </w:r>
      <w:r>
        <w:rPr>
          <w:rFonts w:ascii="Times New Roman" w:eastAsia="仿宋_GB2312" w:hAnsi="Times New Roman" w:hint="default"/>
          <w:sz w:val="32"/>
          <w:szCs w:val="32"/>
        </w:rPr>
        <w:t>40.30</w:t>
      </w:r>
      <w:r>
        <w:rPr>
          <w:rFonts w:ascii="Times New Roman" w:eastAsia="仿宋_GB2312" w:hAnsi="Times New Roman" w:hint="default"/>
          <w:sz w:val="32"/>
          <w:szCs w:val="32"/>
        </w:rPr>
        <w:t>万元，完成预算的</w:t>
      </w:r>
      <w:r>
        <w:rPr>
          <w:rFonts w:ascii="Times New Roman" w:eastAsia="仿宋_GB2312" w:hAnsi="Times New Roman" w:hint="default"/>
          <w:sz w:val="32"/>
          <w:szCs w:val="32"/>
        </w:rPr>
        <w:t>100%</w:t>
      </w:r>
      <w:r>
        <w:rPr>
          <w:rFonts w:ascii="Times New Roman" w:eastAsia="仿宋_GB2312" w:hAnsi="Times New Roman" w:hint="default"/>
          <w:sz w:val="32"/>
          <w:szCs w:val="32"/>
        </w:rPr>
        <w:t>。项目绩效目标完成情况：一是产出指标：聘请法律顾问人数</w:t>
      </w:r>
      <w:r>
        <w:rPr>
          <w:rFonts w:ascii="Times New Roman" w:eastAsia="仿宋_GB2312" w:hAnsi="Times New Roman" w:hint="default"/>
          <w:sz w:val="32"/>
          <w:szCs w:val="32"/>
        </w:rPr>
        <w:t>≥1</w:t>
      </w:r>
      <w:r>
        <w:rPr>
          <w:rFonts w:ascii="Times New Roman" w:eastAsia="仿宋_GB2312" w:hAnsi="Times New Roman" w:hint="default"/>
          <w:sz w:val="32"/>
          <w:szCs w:val="32"/>
        </w:rPr>
        <w:t>人，聘请心理咨询师</w:t>
      </w:r>
      <w:r>
        <w:rPr>
          <w:rFonts w:ascii="Times New Roman" w:eastAsia="仿宋_GB2312" w:hAnsi="Times New Roman" w:hint="default"/>
          <w:sz w:val="32"/>
          <w:szCs w:val="32"/>
        </w:rPr>
        <w:t>≥1</w:t>
      </w:r>
      <w:r>
        <w:rPr>
          <w:rFonts w:ascii="Times New Roman" w:eastAsia="仿宋_GB2312" w:hAnsi="Times New Roman" w:hint="default"/>
          <w:sz w:val="32"/>
          <w:szCs w:val="32"/>
        </w:rPr>
        <w:t>人。实际达到了预期产出指标。二是效益指标：有效维护退役军人的合法权益，及时从源头化解矛盾，增加广大退役军人的获得感、幸福感、安全感，激励他们投身建设中国特色社会主义事业。实际达到了预期效益指标。发现的问题及原因：一是服务渠道较单一；二是合同</w:t>
      </w:r>
      <w:r w:rsidR="00B15B42">
        <w:rPr>
          <w:rFonts w:ascii="Times New Roman" w:eastAsia="仿宋_GB2312" w:hAnsi="Times New Roman"/>
          <w:sz w:val="32"/>
          <w:szCs w:val="32"/>
        </w:rPr>
        <w:t>签定</w:t>
      </w:r>
      <w:r>
        <w:rPr>
          <w:rFonts w:ascii="Times New Roman" w:eastAsia="仿宋_GB2312" w:hAnsi="Times New Roman" w:hint="default"/>
          <w:sz w:val="32"/>
          <w:szCs w:val="32"/>
        </w:rPr>
        <w:t>不规</w:t>
      </w:r>
      <w:r>
        <w:rPr>
          <w:rFonts w:ascii="Times New Roman" w:eastAsia="仿宋_GB2312" w:hAnsi="Times New Roman" w:hint="default"/>
          <w:sz w:val="32"/>
          <w:szCs w:val="32"/>
        </w:rPr>
        <w:lastRenderedPageBreak/>
        <w:t>范；三是考勤不到位；四是资料整理不完整。下一步改进措施：一是针对服务渠道单一问题，我中心一直有提供传真、邮件等渠道，但暂无退役军人使用这些方式咨询问题，下一步打算建一个心理咨询和法律服务的单位微信号，向退役军人开放，让心理咨询和法律服务更为方便快捷；二是今后将严格规范合同的</w:t>
      </w:r>
      <w:r w:rsidR="007F53F6">
        <w:rPr>
          <w:rFonts w:ascii="Times New Roman" w:eastAsia="仿宋_GB2312" w:hAnsi="Times New Roman"/>
          <w:sz w:val="32"/>
          <w:szCs w:val="32"/>
        </w:rPr>
        <w:t>签定</w:t>
      </w:r>
      <w:r>
        <w:rPr>
          <w:rFonts w:ascii="Times New Roman" w:eastAsia="仿宋_GB2312" w:hAnsi="Times New Roman" w:hint="default"/>
          <w:sz w:val="32"/>
          <w:szCs w:val="32"/>
        </w:rPr>
        <w:t>，规避相应风险；三是今后完善工作记录，外聘服务人员的到岗、离岗按流程签字，添加服务中心负责人签字栏，并落实专人负责考勤工作。四是对来咨询的退役军人，在了解其具体情况后，为每位咨询人建档立卡，完善退役军人服务保障工作。今后，对合同中约定的其他服务做好相应的服务台账登记。</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w:t>
      </w:r>
      <w:r>
        <w:rPr>
          <w:rFonts w:ascii="Times New Roman" w:eastAsia="仿宋_GB2312" w:hAnsi="Times New Roman" w:hint="default"/>
          <w:sz w:val="32"/>
          <w:szCs w:val="32"/>
        </w:rPr>
        <w:t>服务中心宣传及印刷</w:t>
      </w:r>
      <w:r>
        <w:rPr>
          <w:rFonts w:ascii="Times New Roman" w:eastAsia="仿宋_GB2312" w:hAnsi="Times New Roman" w:hint="default"/>
          <w:sz w:val="32"/>
          <w:szCs w:val="32"/>
        </w:rPr>
        <w:t>”</w:t>
      </w:r>
      <w:r>
        <w:rPr>
          <w:rFonts w:ascii="Times New Roman" w:eastAsia="仿宋_GB2312" w:hAnsi="Times New Roman" w:hint="default"/>
          <w:sz w:val="32"/>
          <w:szCs w:val="32"/>
        </w:rPr>
        <w:t>项目绩效自评综述：根据年初设定的绩效目标，项目自评得分</w:t>
      </w:r>
      <w:r>
        <w:rPr>
          <w:rFonts w:ascii="Times New Roman" w:eastAsia="仿宋_GB2312" w:hAnsi="Times New Roman" w:hint="default"/>
          <w:sz w:val="32"/>
          <w:szCs w:val="32"/>
        </w:rPr>
        <w:t>94</w:t>
      </w:r>
      <w:r>
        <w:rPr>
          <w:rFonts w:ascii="Times New Roman" w:eastAsia="仿宋_GB2312" w:hAnsi="Times New Roman" w:hint="default"/>
          <w:sz w:val="32"/>
          <w:szCs w:val="32"/>
        </w:rPr>
        <w:t>分，自评结论为</w:t>
      </w:r>
      <w:r>
        <w:rPr>
          <w:rFonts w:ascii="Times New Roman" w:eastAsia="仿宋_GB2312" w:hAnsi="Times New Roman" w:hint="default"/>
          <w:sz w:val="32"/>
          <w:szCs w:val="32"/>
        </w:rPr>
        <w:t>“</w:t>
      </w:r>
      <w:r>
        <w:rPr>
          <w:rFonts w:ascii="Times New Roman" w:eastAsia="仿宋_GB2312" w:hAnsi="Times New Roman" w:hint="default"/>
          <w:sz w:val="32"/>
          <w:szCs w:val="32"/>
        </w:rPr>
        <w:t>优</w:t>
      </w:r>
      <w:r>
        <w:rPr>
          <w:rFonts w:ascii="Times New Roman" w:eastAsia="仿宋_GB2312" w:hAnsi="Times New Roman" w:hint="default"/>
          <w:sz w:val="32"/>
          <w:szCs w:val="32"/>
        </w:rPr>
        <w:t>”</w:t>
      </w:r>
      <w:r>
        <w:rPr>
          <w:rFonts w:ascii="Times New Roman" w:eastAsia="仿宋_GB2312" w:hAnsi="Times New Roman" w:hint="default"/>
          <w:sz w:val="32"/>
          <w:szCs w:val="32"/>
        </w:rPr>
        <w:t>。项目全年预算数为</w:t>
      </w:r>
      <w:r>
        <w:rPr>
          <w:rFonts w:ascii="Times New Roman" w:eastAsia="仿宋_GB2312" w:hAnsi="Times New Roman" w:hint="default"/>
          <w:sz w:val="32"/>
          <w:szCs w:val="32"/>
        </w:rPr>
        <w:t>25.93</w:t>
      </w:r>
      <w:r>
        <w:rPr>
          <w:rFonts w:ascii="Times New Roman" w:eastAsia="仿宋_GB2312" w:hAnsi="Times New Roman" w:hint="default"/>
          <w:sz w:val="32"/>
          <w:szCs w:val="32"/>
        </w:rPr>
        <w:t>万元，执行数为</w:t>
      </w:r>
      <w:r>
        <w:rPr>
          <w:rFonts w:ascii="Times New Roman" w:eastAsia="仿宋_GB2312" w:hAnsi="Times New Roman" w:hint="default"/>
          <w:sz w:val="32"/>
          <w:szCs w:val="32"/>
        </w:rPr>
        <w:t>25.90</w:t>
      </w:r>
      <w:r>
        <w:rPr>
          <w:rFonts w:ascii="Times New Roman" w:eastAsia="仿宋_GB2312" w:hAnsi="Times New Roman" w:hint="default"/>
          <w:sz w:val="32"/>
          <w:szCs w:val="32"/>
        </w:rPr>
        <w:t>万元，完成预算的</w:t>
      </w:r>
      <w:r>
        <w:rPr>
          <w:rFonts w:ascii="Times New Roman" w:eastAsia="仿宋_GB2312" w:hAnsi="Times New Roman" w:hint="default"/>
          <w:sz w:val="32"/>
          <w:szCs w:val="32"/>
        </w:rPr>
        <w:t>99.88%</w:t>
      </w:r>
      <w:r>
        <w:rPr>
          <w:rFonts w:ascii="Times New Roman" w:eastAsia="仿宋_GB2312" w:hAnsi="Times New Roman" w:hint="default"/>
          <w:sz w:val="32"/>
          <w:szCs w:val="32"/>
        </w:rPr>
        <w:t>。项目绩效目标完成情况：一是产出指标：宣传资料印刷的份数</w:t>
      </w:r>
      <w:r>
        <w:rPr>
          <w:rFonts w:ascii="Times New Roman" w:eastAsia="仿宋_GB2312" w:hAnsi="Times New Roman" w:hint="default"/>
          <w:sz w:val="32"/>
          <w:szCs w:val="32"/>
        </w:rPr>
        <w:t>≥5000</w:t>
      </w:r>
      <w:r>
        <w:rPr>
          <w:rFonts w:ascii="Times New Roman" w:eastAsia="仿宋_GB2312" w:hAnsi="Times New Roman" w:hint="default"/>
          <w:sz w:val="32"/>
          <w:szCs w:val="32"/>
        </w:rPr>
        <w:t>份，组织宣传活动的次数</w:t>
      </w:r>
      <w:r>
        <w:rPr>
          <w:rFonts w:ascii="Times New Roman" w:eastAsia="仿宋_GB2312" w:hAnsi="Times New Roman" w:hint="default"/>
          <w:sz w:val="32"/>
          <w:szCs w:val="32"/>
        </w:rPr>
        <w:t>≥1</w:t>
      </w:r>
      <w:r>
        <w:rPr>
          <w:rFonts w:ascii="Times New Roman" w:eastAsia="仿宋_GB2312" w:hAnsi="Times New Roman" w:hint="default"/>
          <w:sz w:val="32"/>
          <w:szCs w:val="32"/>
        </w:rPr>
        <w:t>次。实际达到了预期产出指标。二是效益指标：政策宣传效果</w:t>
      </w:r>
      <w:r>
        <w:rPr>
          <w:rFonts w:ascii="Times New Roman" w:eastAsia="仿宋_GB2312" w:hAnsi="Times New Roman" w:hint="default"/>
          <w:sz w:val="32"/>
          <w:szCs w:val="32"/>
        </w:rPr>
        <w:t xml:space="preserve"> </w:t>
      </w:r>
      <w:r>
        <w:rPr>
          <w:rFonts w:ascii="Times New Roman" w:eastAsia="仿宋_GB2312" w:hAnsi="Times New Roman" w:hint="default"/>
          <w:sz w:val="32"/>
          <w:szCs w:val="32"/>
        </w:rPr>
        <w:t>有效宣传了各类政策，提供社会影响力。实际达到了预期效益指标。发现的问题及原因：一是实际经费使用情况与《项目申报书》不一致；二是合同管理不规范；三是资金使用程序不规范。下一步改进措施：一是要求今后及时根据经费调整情况，形成相应纸质记</w:t>
      </w:r>
      <w:r>
        <w:rPr>
          <w:rFonts w:ascii="Times New Roman" w:eastAsia="仿宋_GB2312" w:hAnsi="Times New Roman" w:hint="default"/>
          <w:sz w:val="32"/>
          <w:szCs w:val="32"/>
        </w:rPr>
        <w:lastRenderedPageBreak/>
        <w:t>录。二是今后规范合同管理，规避相应风险。三是今后要规范资金使用，加强财务管理，严格按照合同约定支付款项。</w:t>
      </w:r>
    </w:p>
    <w:p w:rsidR="009555FD" w:rsidRDefault="00BE3E8C">
      <w:pPr>
        <w:spacing w:line="560" w:lineRule="exact"/>
        <w:ind w:firstLineChars="200" w:firstLine="643"/>
        <w:jc w:val="both"/>
        <w:rPr>
          <w:rFonts w:ascii="Times New Roman" w:eastAsia="仿宋_GB2312" w:hAnsi="Times New Roman" w:hint="default"/>
          <w:sz w:val="32"/>
          <w:szCs w:val="32"/>
        </w:rPr>
      </w:pPr>
      <w:r>
        <w:rPr>
          <w:rFonts w:ascii="Times New Roman" w:eastAsia="仿宋_GB2312" w:hAnsi="Times New Roman" w:hint="default"/>
          <w:b/>
          <w:sz w:val="32"/>
          <w:szCs w:val="32"/>
        </w:rPr>
        <w:t>3.</w:t>
      </w:r>
      <w:r>
        <w:rPr>
          <w:rFonts w:ascii="Times New Roman" w:eastAsia="仿宋_GB2312" w:hAnsi="Times New Roman" w:hint="default"/>
          <w:b/>
          <w:sz w:val="32"/>
          <w:szCs w:val="32"/>
        </w:rPr>
        <w:t>财政评价项目绩效评价结果。</w:t>
      </w:r>
      <w:r>
        <w:rPr>
          <w:rFonts w:ascii="Times New Roman" w:eastAsia="仿宋_GB2312" w:hAnsi="Times New Roman" w:hint="default"/>
          <w:sz w:val="32"/>
          <w:szCs w:val="32"/>
        </w:rPr>
        <w:t>无。</w:t>
      </w:r>
    </w:p>
    <w:p w:rsidR="009555FD" w:rsidRDefault="00BE3E8C">
      <w:pPr>
        <w:spacing w:line="560" w:lineRule="exact"/>
        <w:ind w:firstLineChars="200" w:firstLine="643"/>
        <w:jc w:val="both"/>
        <w:rPr>
          <w:rFonts w:ascii="Times New Roman" w:eastAsia="仿宋_GB2312" w:hAnsi="Times New Roman" w:hint="default"/>
          <w:sz w:val="32"/>
          <w:szCs w:val="32"/>
        </w:rPr>
      </w:pPr>
      <w:r>
        <w:rPr>
          <w:rFonts w:ascii="Times New Roman" w:eastAsia="仿宋_GB2312" w:hAnsi="Times New Roman" w:hint="default"/>
          <w:b/>
          <w:sz w:val="32"/>
          <w:szCs w:val="32"/>
        </w:rPr>
        <w:t>4.</w:t>
      </w:r>
      <w:r>
        <w:rPr>
          <w:rFonts w:ascii="Times New Roman" w:eastAsia="仿宋_GB2312" w:hAnsi="Times New Roman" w:hint="default"/>
          <w:b/>
          <w:sz w:val="32"/>
          <w:szCs w:val="32"/>
        </w:rPr>
        <w:t>部门评价项目绩效评价结果。</w:t>
      </w:r>
      <w:r>
        <w:rPr>
          <w:rFonts w:ascii="Times New Roman" w:eastAsia="仿宋_GB2312" w:hAnsi="Times New Roman" w:hint="default"/>
          <w:sz w:val="32"/>
          <w:szCs w:val="32"/>
        </w:rPr>
        <w:t>2</w:t>
      </w:r>
      <w:r>
        <w:rPr>
          <w:rFonts w:ascii="Times New Roman" w:eastAsia="仿宋_GB2312" w:hAnsi="Times New Roman" w:hint="default"/>
          <w:sz w:val="32"/>
          <w:szCs w:val="32"/>
        </w:rPr>
        <w:t>个项目绩效评价结果为优。</w:t>
      </w:r>
    </w:p>
    <w:p w:rsidR="009555FD" w:rsidRDefault="00BE3E8C">
      <w:pPr>
        <w:spacing w:line="560" w:lineRule="exact"/>
        <w:ind w:firstLineChars="200" w:firstLine="640"/>
        <w:jc w:val="both"/>
        <w:outlineLvl w:val="0"/>
        <w:rPr>
          <w:rFonts w:ascii="Times New Roman" w:hAnsi="Times New Roman" w:hint="default"/>
          <w:sz w:val="32"/>
          <w:szCs w:val="32"/>
        </w:rPr>
      </w:pPr>
      <w:bookmarkStart w:id="18" w:name="_Toc14692"/>
      <w:r>
        <w:rPr>
          <w:rFonts w:ascii="Times New Roman" w:eastAsia="黑体" w:hAnsi="Times New Roman" w:hint="default"/>
          <w:sz w:val="32"/>
          <w:szCs w:val="32"/>
        </w:rPr>
        <w:t>四、名词解释</w:t>
      </w:r>
      <w:bookmarkEnd w:id="18"/>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w:t>
      </w:r>
      <w:r>
        <w:rPr>
          <w:rFonts w:ascii="Times New Roman" w:eastAsia="仿宋_GB2312" w:hAnsi="Times New Roman" w:hint="default"/>
          <w:sz w:val="32"/>
          <w:szCs w:val="32"/>
        </w:rPr>
        <w:t>财政拨款收入：指本级财政部门当年拨付的财政预算资金，包括一般公共预算财政拨款、政府性基金预算财政拨款和国有资本经预算财政拨款。</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w:t>
      </w:r>
      <w:r>
        <w:rPr>
          <w:rFonts w:ascii="Times New Roman" w:eastAsia="仿宋_GB2312" w:hAnsi="Times New Roman" w:hint="default"/>
          <w:sz w:val="32"/>
          <w:szCs w:val="32"/>
        </w:rPr>
        <w:t>事业收入：指事业单位开展专业业务活动及辅助活动所取得的收入。</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3.</w:t>
      </w:r>
      <w:r>
        <w:rPr>
          <w:rFonts w:ascii="Times New Roman" w:eastAsia="仿宋_GB2312" w:hAnsi="Times New Roman" w:hint="default"/>
          <w:sz w:val="32"/>
          <w:szCs w:val="32"/>
        </w:rPr>
        <w:t>经营收入：指事业单位在专业业务活动及辅助活动之外开展非独立核算经营活动取得的收入。</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4.</w:t>
      </w:r>
      <w:r>
        <w:rPr>
          <w:rFonts w:ascii="Times New Roman" w:eastAsia="仿宋_GB2312" w:hAnsi="Times New Roman" w:hint="default"/>
          <w:sz w:val="32"/>
          <w:szCs w:val="32"/>
        </w:rPr>
        <w:t>上级补助收入：指事业单位从主管部门和上级单位取得的非财政补助收入。</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5.</w:t>
      </w:r>
      <w:r>
        <w:rPr>
          <w:rFonts w:ascii="Times New Roman" w:eastAsia="仿宋_GB2312" w:hAnsi="Times New Roman" w:hint="default"/>
          <w:sz w:val="32"/>
          <w:szCs w:val="32"/>
        </w:rPr>
        <w:t>附属单位上缴收入：指事业单位附属独立核算单位按照有关规定上缴的收入。</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6.</w:t>
      </w:r>
      <w:r>
        <w:rPr>
          <w:rFonts w:ascii="Times New Roman" w:eastAsia="仿宋_GB2312" w:hAnsi="Times New Roman" w:hint="default"/>
          <w:sz w:val="32"/>
          <w:szCs w:val="32"/>
        </w:rPr>
        <w:t>其他收入：指预算单位在</w:t>
      </w:r>
      <w:r>
        <w:rPr>
          <w:rFonts w:ascii="Times New Roman" w:eastAsia="仿宋_GB2312" w:hAnsi="Times New Roman" w:hint="default"/>
          <w:sz w:val="32"/>
          <w:szCs w:val="32"/>
        </w:rPr>
        <w:t>“</w:t>
      </w:r>
      <w:r>
        <w:rPr>
          <w:rFonts w:ascii="Times New Roman" w:eastAsia="仿宋_GB2312" w:hAnsi="Times New Roman" w:hint="default"/>
          <w:sz w:val="32"/>
          <w:szCs w:val="32"/>
        </w:rPr>
        <w:t>财政拨款</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事业收入</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经营收入</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上级补助收入</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w:t>
      </w:r>
      <w:r>
        <w:rPr>
          <w:rFonts w:ascii="Times New Roman" w:eastAsia="仿宋_GB2312" w:hAnsi="Times New Roman" w:hint="default"/>
          <w:sz w:val="32"/>
          <w:szCs w:val="32"/>
        </w:rPr>
        <w:t>附属单位上缴收入</w:t>
      </w:r>
      <w:r>
        <w:rPr>
          <w:rFonts w:ascii="Times New Roman" w:eastAsia="仿宋_GB2312" w:hAnsi="Times New Roman" w:hint="default"/>
          <w:sz w:val="32"/>
          <w:szCs w:val="32"/>
        </w:rPr>
        <w:t>”</w:t>
      </w:r>
      <w:r>
        <w:rPr>
          <w:rFonts w:ascii="Times New Roman" w:eastAsia="仿宋_GB2312" w:hAnsi="Times New Roman" w:hint="default"/>
          <w:sz w:val="32"/>
          <w:szCs w:val="32"/>
        </w:rPr>
        <w:t>等之外取得的各项收入。</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7.</w:t>
      </w:r>
      <w:r>
        <w:rPr>
          <w:rFonts w:ascii="Times New Roman" w:eastAsia="仿宋_GB2312" w:hAnsi="Times New Roman" w:hint="default"/>
          <w:sz w:val="32"/>
          <w:szCs w:val="32"/>
        </w:rPr>
        <w:t>使用非财政拨款结余：指事业单位使用以前年度积累的非财政拨款结余弥补当年收支差额的金额。</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lastRenderedPageBreak/>
        <w:t>8.</w:t>
      </w:r>
      <w:r>
        <w:rPr>
          <w:rFonts w:ascii="Times New Roman" w:eastAsia="仿宋_GB2312" w:hAnsi="Times New Roman" w:hint="default"/>
          <w:sz w:val="32"/>
          <w:szCs w:val="32"/>
        </w:rPr>
        <w:t>年初结转和结余：指预算单位以前年度尚未完成、结转到本年仍按原规定用途继续使用的资金。</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9.</w:t>
      </w:r>
      <w:r>
        <w:rPr>
          <w:rFonts w:ascii="Times New Roman" w:eastAsia="仿宋_GB2312" w:hAnsi="Times New Roman" w:hint="default"/>
          <w:sz w:val="32"/>
          <w:szCs w:val="32"/>
        </w:rPr>
        <w:t>年末结转和结余：指单位按有关规定结转到下年或以后年度继续使用的资金。</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10.</w:t>
      </w:r>
      <w:r>
        <w:rPr>
          <w:rFonts w:ascii="Times New Roman" w:eastAsia="仿宋_GB2312" w:hAnsi="Times New Roman" w:hint="default"/>
          <w:sz w:val="32"/>
          <w:szCs w:val="32"/>
        </w:rPr>
        <w:t>基本支出：指预算单位为保障其正常运转，完成日常工作任务所发生的支出，包括人员经费支出和日常公用经费支出。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11.</w:t>
      </w:r>
      <w:r>
        <w:rPr>
          <w:rFonts w:ascii="Times New Roman" w:eastAsia="仿宋_GB2312" w:hAnsi="Times New Roman" w:hint="default"/>
          <w:sz w:val="32"/>
          <w:szCs w:val="32"/>
        </w:rPr>
        <w:t>项目支出：指预算单位为完成其特定的行政工作任务或事业发展目标所发生的支出。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12.</w:t>
      </w:r>
      <w:r>
        <w:rPr>
          <w:rFonts w:ascii="Times New Roman" w:eastAsia="仿宋_GB2312" w:hAnsi="Times New Roman" w:hint="default"/>
          <w:sz w:val="32"/>
          <w:szCs w:val="32"/>
        </w:rPr>
        <w:t>上缴上级支出：填列事业单位按照财政部门和主管部门的规定上缴上级单位的支出。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13.</w:t>
      </w:r>
      <w:r>
        <w:rPr>
          <w:rFonts w:ascii="Times New Roman" w:eastAsia="仿宋_GB2312" w:hAnsi="Times New Roman" w:hint="default"/>
          <w:sz w:val="32"/>
          <w:szCs w:val="32"/>
        </w:rPr>
        <w:t>经营支出：指事业单位在专业业务活动及其辅助活动之外开展非独立核算经营活动发生的支出。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14.</w:t>
      </w:r>
      <w:r>
        <w:rPr>
          <w:rFonts w:ascii="Times New Roman" w:eastAsia="仿宋_GB2312" w:hAnsi="Times New Roman" w:hint="default"/>
          <w:sz w:val="32"/>
          <w:szCs w:val="32"/>
        </w:rPr>
        <w:t>附属单位补助支出：填列事业单位用财政补助收入之外的收入对附属单位补助发生的支出。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15.“</w:t>
      </w:r>
      <w:r>
        <w:rPr>
          <w:rFonts w:ascii="Times New Roman" w:eastAsia="仿宋_GB2312" w:hAnsi="Times New Roman" w:hint="default"/>
          <w:sz w:val="32"/>
          <w:szCs w:val="32"/>
        </w:rPr>
        <w:t>三公</w:t>
      </w:r>
      <w:r>
        <w:rPr>
          <w:rFonts w:ascii="Times New Roman" w:eastAsia="仿宋_GB2312" w:hAnsi="Times New Roman" w:hint="default"/>
          <w:sz w:val="32"/>
          <w:szCs w:val="32"/>
        </w:rPr>
        <w:t>”</w:t>
      </w:r>
      <w:r>
        <w:rPr>
          <w:rFonts w:ascii="Times New Roman" w:eastAsia="仿宋_GB2312" w:hAnsi="Times New Roman" w:hint="default"/>
          <w:sz w:val="32"/>
          <w:szCs w:val="32"/>
        </w:rPr>
        <w:t>经费：纳入财政预决算管理的</w:t>
      </w:r>
      <w:r>
        <w:rPr>
          <w:rFonts w:ascii="Times New Roman" w:eastAsia="仿宋_GB2312" w:hAnsi="Times New Roman" w:hint="default"/>
          <w:sz w:val="32"/>
          <w:szCs w:val="32"/>
        </w:rPr>
        <w:t>“</w:t>
      </w:r>
      <w:r>
        <w:rPr>
          <w:rFonts w:ascii="Times New Roman" w:eastAsia="仿宋_GB2312" w:hAnsi="Times New Roman" w:hint="default"/>
          <w:sz w:val="32"/>
          <w:szCs w:val="32"/>
        </w:rPr>
        <w:t>三公</w:t>
      </w:r>
      <w:r>
        <w:rPr>
          <w:rFonts w:ascii="Times New Roman" w:eastAsia="仿宋_GB2312" w:hAnsi="Times New Roman" w:hint="default"/>
          <w:sz w:val="32"/>
          <w:szCs w:val="32"/>
        </w:rPr>
        <w:t>”</w:t>
      </w:r>
      <w:r>
        <w:rPr>
          <w:rFonts w:ascii="Times New Roman" w:eastAsia="仿宋_GB2312" w:hAnsi="Times New Roman" w:hint="default"/>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w:t>
      </w:r>
      <w:r>
        <w:rPr>
          <w:rFonts w:ascii="Times New Roman" w:eastAsia="仿宋_GB2312" w:hAnsi="Times New Roman" w:hint="default"/>
          <w:sz w:val="32"/>
          <w:szCs w:val="32"/>
        </w:rPr>
        <w:lastRenderedPageBreak/>
        <w:t>全奖励费用等支出；公务接待费反映单位按规定开支的各类公务接待（含外宾接待）支出。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16.</w:t>
      </w:r>
      <w:r>
        <w:rPr>
          <w:rFonts w:ascii="Times New Roman" w:eastAsia="仿宋_GB2312" w:hAnsi="Times New Roman" w:hint="default"/>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17.</w:t>
      </w:r>
      <w:r>
        <w:rPr>
          <w:rFonts w:ascii="Times New Roman" w:eastAsia="仿宋_GB2312" w:hAnsi="Times New Roman" w:hint="default"/>
          <w:sz w:val="32"/>
          <w:szCs w:val="32"/>
        </w:rPr>
        <w:t>社会保障和就业支出（类）行政事业单位养老支出（款）机关事业单位基本养老保险缴费支出（项）：指机关事业单位实施养老保险制度由单位缴纳的基本养老保险费支出。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18.</w:t>
      </w:r>
      <w:r>
        <w:rPr>
          <w:rFonts w:ascii="Times New Roman" w:eastAsia="仿宋_GB2312" w:hAnsi="Times New Roman" w:hint="default"/>
          <w:sz w:val="32"/>
          <w:szCs w:val="32"/>
        </w:rPr>
        <w:t>社会保障和就业支出（类）行政事业单位养老支出（款）机关事业单位职业年金缴费支出（项）：指机关事业单位实施养老保险制度由单位实际缴纳的职业年金支出。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19.</w:t>
      </w:r>
      <w:r>
        <w:rPr>
          <w:rFonts w:ascii="Times New Roman" w:eastAsia="仿宋_GB2312" w:hAnsi="Times New Roman" w:hint="default"/>
          <w:sz w:val="32"/>
          <w:szCs w:val="32"/>
        </w:rPr>
        <w:t>社会保障和就业支出（类）退役军人管理事务（款）事业运行（项）：指事业单位的基本支出，不包括行政单位（包括公务员管理的事业单位）后勤服务中心、医疗室等附属事业单位。</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20.</w:t>
      </w:r>
      <w:r>
        <w:rPr>
          <w:rFonts w:ascii="Times New Roman" w:eastAsia="仿宋_GB2312" w:hAnsi="Times New Roman" w:hint="default"/>
          <w:sz w:val="32"/>
          <w:szCs w:val="32"/>
        </w:rPr>
        <w:t>社会保障和就业支出（类）退役军人管理事务（款）其他退役军人事务管理支出（项）：指除行政运行、一般行政管理事务、机关服务、拥军优属、部队供应、事业运行项目以外其他用于退役军人事务管理方面的支出。</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lastRenderedPageBreak/>
        <w:t>21.</w:t>
      </w:r>
      <w:r>
        <w:rPr>
          <w:rFonts w:ascii="Times New Roman" w:eastAsia="仿宋_GB2312" w:hAnsi="Times New Roman" w:hint="default"/>
          <w:sz w:val="32"/>
          <w:szCs w:val="32"/>
        </w:rPr>
        <w:t>卫生健康支出（类）行政事业单位医疗（款）事业单位医疗（项）：指财政部门安排的事业单位基本医疗保险缴费经费，未参加医疗保险的事业单位的公费医疗经费，按国家规定享受离休人员待遇的医疗经费。</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22.</w:t>
      </w:r>
      <w:r>
        <w:rPr>
          <w:rFonts w:ascii="Times New Roman" w:eastAsia="仿宋_GB2312" w:hAnsi="Times New Roman" w:hint="default"/>
          <w:sz w:val="32"/>
          <w:szCs w:val="32"/>
        </w:rPr>
        <w:t>住房保障支出（类）住房改革支出（款）住房公积金（项）：指行政事业单位按人力资源和社会保障部、财政部规定的基本工资和津贴补贴以及规定比例为职工缴纳的住房公积金。</w:t>
      </w:r>
    </w:p>
    <w:p w:rsidR="009555FD" w:rsidRDefault="00BE3E8C">
      <w:pPr>
        <w:spacing w:line="56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23.</w:t>
      </w:r>
      <w:r>
        <w:rPr>
          <w:rFonts w:ascii="Times New Roman" w:eastAsia="仿宋_GB2312" w:hAnsi="Times New Roman" w:hint="default"/>
          <w:sz w:val="32"/>
          <w:szCs w:val="32"/>
        </w:rPr>
        <w:t>住房保障支出（类）住房改革支出（款）购房补贴（项）：指按房改政策规定</w:t>
      </w:r>
      <w:r>
        <w:rPr>
          <w:rFonts w:ascii="Times New Roman" w:eastAsia="仿宋_GB2312" w:hAnsi="Times New Roman" w:hint="default"/>
          <w:sz w:val="32"/>
          <w:szCs w:val="32"/>
        </w:rPr>
        <w:t xml:space="preserve">, </w:t>
      </w:r>
      <w:r>
        <w:rPr>
          <w:rFonts w:ascii="Times New Roman" w:eastAsia="仿宋_GB2312" w:hAnsi="Times New Roman" w:hint="default"/>
          <w:sz w:val="32"/>
          <w:szCs w:val="32"/>
        </w:rPr>
        <w:t>行政事业单位向符合条件职工</w:t>
      </w:r>
      <w:r>
        <w:rPr>
          <w:rFonts w:ascii="Times New Roman" w:eastAsia="仿宋_GB2312" w:hAnsi="Times New Roman" w:hint="default"/>
          <w:sz w:val="32"/>
          <w:szCs w:val="32"/>
        </w:rPr>
        <w:t>(</w:t>
      </w:r>
      <w:r>
        <w:rPr>
          <w:rFonts w:ascii="Times New Roman" w:eastAsia="仿宋_GB2312" w:hAnsi="Times New Roman" w:hint="default"/>
          <w:sz w:val="32"/>
          <w:szCs w:val="32"/>
        </w:rPr>
        <w:t>含离退休人员</w:t>
      </w:r>
      <w:r>
        <w:rPr>
          <w:rFonts w:ascii="Times New Roman" w:eastAsia="仿宋_GB2312" w:hAnsi="Times New Roman" w:hint="default"/>
          <w:sz w:val="32"/>
          <w:szCs w:val="32"/>
        </w:rPr>
        <w:t>)</w:t>
      </w:r>
      <w:r>
        <w:rPr>
          <w:rFonts w:ascii="Times New Roman" w:eastAsia="仿宋_GB2312" w:hAnsi="Times New Roman" w:hint="default"/>
          <w:sz w:val="32"/>
          <w:szCs w:val="32"/>
        </w:rPr>
        <w:t>、军队（含武警）向转役复员离退休人员发放的用于购买住房的补贴。</w:t>
      </w:r>
    </w:p>
    <w:p w:rsidR="009555FD" w:rsidRDefault="009555FD">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7C37D8" w:rsidRDefault="007C37D8">
      <w:pPr>
        <w:pStyle w:val="Default"/>
        <w:ind w:firstLine="600"/>
        <w:jc w:val="both"/>
        <w:rPr>
          <w:rFonts w:ascii="Times New Roman" w:hAnsi="Times New Roman" w:hint="default"/>
          <w:sz w:val="32"/>
          <w:szCs w:val="32"/>
        </w:rPr>
      </w:pPr>
    </w:p>
    <w:p w:rsidR="0020054B" w:rsidRDefault="0020054B" w:rsidP="00276067">
      <w:pPr>
        <w:pStyle w:val="Default"/>
        <w:jc w:val="both"/>
        <w:rPr>
          <w:rFonts w:ascii="Times New Roman" w:hAnsi="Times New Roman" w:hint="default"/>
          <w:sz w:val="32"/>
          <w:szCs w:val="32"/>
        </w:rPr>
        <w:sectPr w:rsidR="0020054B">
          <w:footerReference w:type="default" r:id="rId9"/>
          <w:pgSz w:w="11915" w:h="16851"/>
          <w:pgMar w:top="2098" w:right="1474" w:bottom="1984" w:left="1587" w:header="851" w:footer="992" w:gutter="0"/>
          <w:pgNumType w:fmt="numberInDash" w:start="1"/>
          <w:cols w:space="720"/>
          <w:docGrid w:type="lines" w:linePitch="312"/>
        </w:sectPr>
      </w:pPr>
    </w:p>
    <w:tbl>
      <w:tblPr>
        <w:tblW w:w="14082" w:type="dxa"/>
        <w:jc w:val="center"/>
        <w:tblInd w:w="93" w:type="dxa"/>
        <w:tblLook w:val="04A0" w:firstRow="1" w:lastRow="0" w:firstColumn="1" w:lastColumn="0" w:noHBand="0" w:noVBand="1"/>
      </w:tblPr>
      <w:tblGrid>
        <w:gridCol w:w="3776"/>
        <w:gridCol w:w="1104"/>
        <w:gridCol w:w="172"/>
        <w:gridCol w:w="64"/>
        <w:gridCol w:w="1211"/>
        <w:gridCol w:w="4253"/>
        <w:gridCol w:w="1417"/>
        <w:gridCol w:w="2085"/>
      </w:tblGrid>
      <w:tr w:rsidR="00276067" w:rsidRPr="00276067" w:rsidTr="00276067">
        <w:trPr>
          <w:trHeight w:val="375"/>
          <w:jc w:val="center"/>
        </w:trPr>
        <w:tc>
          <w:tcPr>
            <w:tcW w:w="14082" w:type="dxa"/>
            <w:gridSpan w:val="8"/>
            <w:tcBorders>
              <w:top w:val="nil"/>
              <w:left w:val="nil"/>
              <w:bottom w:val="nil"/>
              <w:right w:val="nil"/>
            </w:tcBorders>
            <w:shd w:val="clear" w:color="auto" w:fill="auto"/>
            <w:noWrap/>
            <w:vAlign w:val="center"/>
            <w:hideMark/>
          </w:tcPr>
          <w:p w:rsidR="00276067" w:rsidRPr="00276067" w:rsidRDefault="00276067" w:rsidP="00276067">
            <w:pPr>
              <w:jc w:val="center"/>
              <w:rPr>
                <w:rFonts w:ascii="黑体" w:eastAsia="黑体" w:hAnsi="黑体" w:cs="Arial"/>
                <w:sz w:val="30"/>
                <w:szCs w:val="30"/>
              </w:rPr>
            </w:pPr>
            <w:r w:rsidRPr="00276067">
              <w:rPr>
                <w:rFonts w:ascii="黑体" w:eastAsia="黑体" w:hAnsi="黑体" w:cs="Arial"/>
                <w:sz w:val="30"/>
                <w:szCs w:val="30"/>
              </w:rPr>
              <w:lastRenderedPageBreak/>
              <w:t>收入支出决算总表</w:t>
            </w:r>
          </w:p>
        </w:tc>
      </w:tr>
      <w:tr w:rsidR="00276067" w:rsidRPr="00276067" w:rsidTr="00276067">
        <w:trPr>
          <w:trHeight w:val="270"/>
          <w:jc w:val="center"/>
        </w:trPr>
        <w:tc>
          <w:tcPr>
            <w:tcW w:w="4880" w:type="dxa"/>
            <w:gridSpan w:val="2"/>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236" w:type="dxa"/>
            <w:gridSpan w:val="2"/>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211"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4253"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417"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2085" w:type="dxa"/>
            <w:tcBorders>
              <w:top w:val="nil"/>
              <w:left w:val="nil"/>
              <w:bottom w:val="nil"/>
              <w:right w:val="nil"/>
            </w:tcBorders>
            <w:shd w:val="clear" w:color="auto" w:fill="auto"/>
            <w:noWrap/>
            <w:vAlign w:val="center"/>
            <w:hideMark/>
          </w:tcPr>
          <w:p w:rsidR="00276067" w:rsidRPr="00276067" w:rsidRDefault="00276067" w:rsidP="00276067">
            <w:pPr>
              <w:jc w:val="right"/>
              <w:rPr>
                <w:rFonts w:cs="Arial"/>
                <w:sz w:val="22"/>
                <w:szCs w:val="22"/>
              </w:rPr>
            </w:pPr>
            <w:r w:rsidRPr="00276067">
              <w:rPr>
                <w:rFonts w:cs="Arial"/>
                <w:sz w:val="22"/>
                <w:szCs w:val="22"/>
              </w:rPr>
              <w:t>公开01表</w:t>
            </w:r>
          </w:p>
        </w:tc>
      </w:tr>
      <w:tr w:rsidR="00276067" w:rsidRPr="00276067" w:rsidTr="00276067">
        <w:trPr>
          <w:trHeight w:val="270"/>
          <w:jc w:val="center"/>
        </w:trPr>
        <w:tc>
          <w:tcPr>
            <w:tcW w:w="4880" w:type="dxa"/>
            <w:gridSpan w:val="2"/>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22"/>
                <w:szCs w:val="22"/>
              </w:rPr>
            </w:pPr>
            <w:r w:rsidRPr="00276067">
              <w:rPr>
                <w:rFonts w:cs="Arial"/>
                <w:sz w:val="22"/>
                <w:szCs w:val="22"/>
              </w:rPr>
              <w:t>部门：浙江省退役军人服务中心</w:t>
            </w:r>
          </w:p>
        </w:tc>
        <w:tc>
          <w:tcPr>
            <w:tcW w:w="236" w:type="dxa"/>
            <w:gridSpan w:val="2"/>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211"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4253"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417"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2085" w:type="dxa"/>
            <w:tcBorders>
              <w:top w:val="nil"/>
              <w:left w:val="nil"/>
              <w:bottom w:val="single" w:sz="4" w:space="0" w:color="808080"/>
              <w:right w:val="nil"/>
            </w:tcBorders>
            <w:shd w:val="clear" w:color="auto" w:fill="auto"/>
            <w:noWrap/>
            <w:vAlign w:val="center"/>
            <w:hideMark/>
          </w:tcPr>
          <w:p w:rsidR="00276067" w:rsidRPr="00276067" w:rsidRDefault="00276067" w:rsidP="00276067">
            <w:pPr>
              <w:jc w:val="right"/>
              <w:rPr>
                <w:rFonts w:cs="Arial"/>
                <w:sz w:val="22"/>
                <w:szCs w:val="22"/>
              </w:rPr>
            </w:pPr>
            <w:r w:rsidRPr="00276067">
              <w:rPr>
                <w:rFonts w:cs="Arial"/>
                <w:sz w:val="22"/>
                <w:szCs w:val="22"/>
              </w:rPr>
              <w:t>金额单位：万元</w:t>
            </w:r>
          </w:p>
        </w:tc>
      </w:tr>
      <w:tr w:rsidR="00276067" w:rsidRPr="00276067" w:rsidTr="00276067">
        <w:trPr>
          <w:trHeight w:val="300"/>
          <w:jc w:val="center"/>
        </w:trPr>
        <w:tc>
          <w:tcPr>
            <w:tcW w:w="6327"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收入</w:t>
            </w:r>
          </w:p>
        </w:tc>
        <w:tc>
          <w:tcPr>
            <w:tcW w:w="7755" w:type="dxa"/>
            <w:gridSpan w:val="3"/>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支出</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项目</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行次</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金额</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项目</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行次</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金额</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栏次</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 xml:space="preserve">　</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栏次</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 xml:space="preserve">　</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一、一般公共预算财政拨款收入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417.89</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一、一般公共服务支出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32</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二、政府性基金预算财政拨款收入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二、外交支出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33</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三、国有资本经营预算财政拨款收入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三、国防支出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34</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四、上级补助收入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四、公共安全支出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35</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五、事业收入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五、教育支出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36</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六、经营收入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6</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六、科学技术支出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37</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七、附属单位上缴收入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7</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七、文化旅游体育与传媒支出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38</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八、其他收入</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0.03</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八、社会保障和就业支出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39</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401.39</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九、卫生健康支出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40</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9.08</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十、节能环保支出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41</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十一、城乡社区支出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42</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12</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十二、农林水支出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43</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13</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十三、交通运输支出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44</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14</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十四、资源勘探工业信息等支出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45</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15</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十五、商业服务业等支出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46</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16</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十六、金融支出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47</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17</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十七、援助其他地区支出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48</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18</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十八、自然资源海洋气象等支出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49</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19</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十九、住房保障支出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50</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59.39</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20</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二十、粮油物资储备支出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51</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21</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二十一、国有资本经营预算支出</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52</w:t>
            </w:r>
          </w:p>
        </w:tc>
        <w:tc>
          <w:tcPr>
            <w:tcW w:w="2085"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nil"/>
              <w:left w:val="single" w:sz="4" w:space="0" w:color="000000"/>
              <w:bottom w:val="single" w:sz="4" w:space="0" w:color="auto"/>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nil"/>
              <w:left w:val="nil"/>
              <w:bottom w:val="single" w:sz="4" w:space="0" w:color="auto"/>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22</w:t>
            </w:r>
          </w:p>
        </w:tc>
        <w:tc>
          <w:tcPr>
            <w:tcW w:w="1275" w:type="dxa"/>
            <w:gridSpan w:val="2"/>
            <w:tcBorders>
              <w:top w:val="nil"/>
              <w:left w:val="nil"/>
              <w:bottom w:val="single" w:sz="4" w:space="0" w:color="auto"/>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nil"/>
              <w:left w:val="nil"/>
              <w:bottom w:val="single" w:sz="4" w:space="0" w:color="auto"/>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二十二、灾害防治及应急管理支出</w:t>
            </w:r>
          </w:p>
        </w:tc>
        <w:tc>
          <w:tcPr>
            <w:tcW w:w="1417" w:type="dxa"/>
            <w:tcBorders>
              <w:top w:val="nil"/>
              <w:left w:val="nil"/>
              <w:bottom w:val="single" w:sz="4" w:space="0" w:color="auto"/>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53</w:t>
            </w:r>
          </w:p>
        </w:tc>
        <w:tc>
          <w:tcPr>
            <w:tcW w:w="2085" w:type="dxa"/>
            <w:tcBorders>
              <w:top w:val="nil"/>
              <w:left w:val="nil"/>
              <w:bottom w:val="single" w:sz="4" w:space="0" w:color="auto"/>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lastRenderedPageBreak/>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二十三、其他支出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54</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二十四、债务还本支出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55</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二十五、债务付息支出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56</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二十六、抗疫特别国债安排的支出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57</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b/>
                <w:bCs/>
                <w:sz w:val="20"/>
                <w:szCs w:val="20"/>
              </w:rPr>
            </w:pPr>
            <w:r w:rsidRPr="00276067">
              <w:rPr>
                <w:rFonts w:cs="Arial"/>
                <w:b/>
                <w:bCs/>
                <w:sz w:val="20"/>
                <w:szCs w:val="20"/>
              </w:rPr>
              <w:t>本年收入合计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417.92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b/>
                <w:bCs/>
                <w:sz w:val="20"/>
                <w:szCs w:val="20"/>
              </w:rPr>
            </w:pPr>
            <w:r w:rsidRPr="00276067">
              <w:rPr>
                <w:rFonts w:cs="Arial"/>
                <w:b/>
                <w:bCs/>
                <w:sz w:val="20"/>
                <w:szCs w:val="20"/>
              </w:rPr>
              <w:t>本年支出合计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58</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469.87</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使用非财政拨款结余</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结余分配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59</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0.03</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年初结转和结余</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101.22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年末结转和结余</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60</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49.24</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61</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r>
      <w:tr w:rsidR="00276067" w:rsidRPr="00276067" w:rsidTr="00276067">
        <w:trPr>
          <w:trHeight w:val="300"/>
          <w:jc w:val="center"/>
        </w:trPr>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b/>
                <w:bCs/>
                <w:sz w:val="20"/>
                <w:szCs w:val="20"/>
              </w:rPr>
            </w:pPr>
            <w:r w:rsidRPr="00276067">
              <w:rPr>
                <w:rFonts w:cs="Arial"/>
                <w:b/>
                <w:bCs/>
                <w:sz w:val="20"/>
                <w:szCs w:val="20"/>
              </w:rPr>
              <w:t>总计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519.13</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rPr>
                <w:rFonts w:cs="Arial"/>
                <w:b/>
                <w:bCs/>
                <w:sz w:val="20"/>
                <w:szCs w:val="20"/>
              </w:rPr>
            </w:pPr>
            <w:r w:rsidRPr="00276067">
              <w:rPr>
                <w:rFonts w:cs="Arial"/>
                <w:b/>
                <w:bCs/>
                <w:sz w:val="20"/>
                <w:szCs w:val="20"/>
              </w:rPr>
              <w:t>总计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62</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519.13</w:t>
            </w:r>
          </w:p>
        </w:tc>
      </w:tr>
      <w:tr w:rsidR="00276067" w:rsidRPr="00276067" w:rsidTr="00276067">
        <w:trPr>
          <w:trHeight w:val="300"/>
          <w:jc w:val="center"/>
        </w:trPr>
        <w:tc>
          <w:tcPr>
            <w:tcW w:w="14082" w:type="dxa"/>
            <w:gridSpan w:val="8"/>
            <w:tcBorders>
              <w:top w:val="single" w:sz="4" w:space="0" w:color="auto"/>
              <w:left w:val="nil"/>
              <w:bottom w:val="nil"/>
              <w:right w:val="nil"/>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注：1.本表反映本年度的总收支和年末结转结余情况，本套报表金额单位转换时可能存在尾数误差。</w:t>
            </w:r>
          </w:p>
        </w:tc>
      </w:tr>
    </w:tbl>
    <w:p w:rsidR="0020054B" w:rsidRPr="00276067" w:rsidRDefault="0020054B" w:rsidP="00276067">
      <w:pPr>
        <w:pStyle w:val="Default"/>
        <w:jc w:val="both"/>
        <w:rPr>
          <w:rFonts w:ascii="Times New Roman" w:hAnsi="Times New Roman" w:hint="default"/>
          <w:sz w:val="32"/>
          <w:szCs w:val="32"/>
        </w:rPr>
      </w:pPr>
    </w:p>
    <w:p w:rsidR="0020054B" w:rsidRDefault="0020054B">
      <w:pPr>
        <w:pStyle w:val="Default"/>
        <w:ind w:firstLine="600"/>
        <w:jc w:val="both"/>
        <w:rPr>
          <w:rFonts w:ascii="Times New Roman" w:hAnsi="Times New Roman" w:hint="default"/>
          <w:sz w:val="32"/>
          <w:szCs w:val="32"/>
        </w:rPr>
      </w:pPr>
    </w:p>
    <w:p w:rsidR="0020054B" w:rsidRDefault="0020054B">
      <w:pPr>
        <w:pStyle w:val="Default"/>
        <w:ind w:firstLine="600"/>
        <w:jc w:val="both"/>
        <w:rPr>
          <w:rFonts w:ascii="Times New Roman" w:hAnsi="Times New Roman" w:hint="default"/>
          <w:sz w:val="32"/>
          <w:szCs w:val="32"/>
        </w:rPr>
      </w:pPr>
    </w:p>
    <w:p w:rsidR="0020054B" w:rsidRDefault="0020054B">
      <w:pPr>
        <w:pStyle w:val="Default"/>
        <w:ind w:firstLine="600"/>
        <w:jc w:val="both"/>
        <w:rPr>
          <w:rFonts w:ascii="Times New Roman" w:hAnsi="Times New Roman" w:hint="default"/>
          <w:sz w:val="32"/>
          <w:szCs w:val="32"/>
        </w:rPr>
      </w:pPr>
    </w:p>
    <w:p w:rsidR="0020054B" w:rsidRDefault="0020054B">
      <w:pPr>
        <w:pStyle w:val="Default"/>
        <w:ind w:firstLine="600"/>
        <w:jc w:val="both"/>
        <w:rPr>
          <w:rFonts w:ascii="Times New Roman" w:hAnsi="Times New Roman" w:hint="default"/>
          <w:sz w:val="32"/>
          <w:szCs w:val="32"/>
        </w:rPr>
      </w:pPr>
    </w:p>
    <w:p w:rsidR="0020054B" w:rsidRDefault="0020054B">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tbl>
      <w:tblPr>
        <w:tblW w:w="13907" w:type="dxa"/>
        <w:jc w:val="center"/>
        <w:tblInd w:w="93" w:type="dxa"/>
        <w:tblLayout w:type="fixed"/>
        <w:tblLook w:val="04A0" w:firstRow="1" w:lastRow="0" w:firstColumn="1" w:lastColumn="0" w:noHBand="0" w:noVBand="1"/>
      </w:tblPr>
      <w:tblGrid>
        <w:gridCol w:w="3559"/>
        <w:gridCol w:w="1593"/>
        <w:gridCol w:w="1416"/>
        <w:gridCol w:w="1811"/>
        <w:gridCol w:w="1417"/>
        <w:gridCol w:w="1121"/>
        <w:gridCol w:w="1134"/>
        <w:gridCol w:w="1856"/>
      </w:tblGrid>
      <w:tr w:rsidR="00276067" w:rsidRPr="00276067" w:rsidTr="00BD7B07">
        <w:trPr>
          <w:trHeight w:val="555"/>
          <w:jc w:val="center"/>
        </w:trPr>
        <w:tc>
          <w:tcPr>
            <w:tcW w:w="13907" w:type="dxa"/>
            <w:gridSpan w:val="8"/>
            <w:tcBorders>
              <w:top w:val="nil"/>
              <w:left w:val="nil"/>
              <w:bottom w:val="nil"/>
              <w:right w:val="nil"/>
            </w:tcBorders>
            <w:shd w:val="clear" w:color="auto" w:fill="auto"/>
            <w:noWrap/>
            <w:vAlign w:val="center"/>
            <w:hideMark/>
          </w:tcPr>
          <w:p w:rsidR="00276067" w:rsidRPr="00276067" w:rsidRDefault="00276067" w:rsidP="00276067">
            <w:pPr>
              <w:jc w:val="center"/>
              <w:rPr>
                <w:rFonts w:cs="Arial"/>
                <w:sz w:val="18"/>
                <w:szCs w:val="18"/>
              </w:rPr>
            </w:pPr>
            <w:r w:rsidRPr="00276067">
              <w:rPr>
                <w:rFonts w:ascii="黑体" w:eastAsia="黑体" w:hAnsi="黑体" w:cs="Arial"/>
                <w:sz w:val="30"/>
                <w:szCs w:val="30"/>
              </w:rPr>
              <w:lastRenderedPageBreak/>
              <w:t>收入决算表（分单位）</w:t>
            </w:r>
          </w:p>
        </w:tc>
      </w:tr>
      <w:tr w:rsidR="00276067" w:rsidRPr="00276067" w:rsidTr="00276067">
        <w:trPr>
          <w:trHeight w:val="270"/>
          <w:jc w:val="center"/>
        </w:trPr>
        <w:tc>
          <w:tcPr>
            <w:tcW w:w="3559"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593"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416"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811"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417"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121"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134" w:type="dxa"/>
            <w:tcBorders>
              <w:top w:val="nil"/>
              <w:left w:val="nil"/>
              <w:bottom w:val="nil"/>
              <w:right w:val="nil"/>
            </w:tcBorders>
            <w:shd w:val="clear" w:color="auto" w:fill="auto"/>
            <w:noWrap/>
            <w:vAlign w:val="center"/>
            <w:hideMark/>
          </w:tcPr>
          <w:p w:rsidR="00276067" w:rsidRPr="00276067" w:rsidRDefault="00276067" w:rsidP="00276067">
            <w:pPr>
              <w:rPr>
                <w:rFonts w:cs="Arial"/>
                <w:sz w:val="18"/>
                <w:szCs w:val="18"/>
              </w:rPr>
            </w:pPr>
          </w:p>
        </w:tc>
        <w:tc>
          <w:tcPr>
            <w:tcW w:w="1856" w:type="dxa"/>
            <w:tcBorders>
              <w:top w:val="nil"/>
              <w:left w:val="nil"/>
              <w:bottom w:val="nil"/>
              <w:right w:val="nil"/>
            </w:tcBorders>
            <w:shd w:val="clear" w:color="auto" w:fill="auto"/>
            <w:noWrap/>
            <w:vAlign w:val="center"/>
            <w:hideMark/>
          </w:tcPr>
          <w:p w:rsidR="00276067" w:rsidRPr="00276067" w:rsidRDefault="00276067" w:rsidP="00276067">
            <w:pPr>
              <w:jc w:val="right"/>
              <w:rPr>
                <w:rFonts w:cs="Arial"/>
                <w:sz w:val="22"/>
                <w:szCs w:val="22"/>
              </w:rPr>
            </w:pPr>
            <w:r w:rsidRPr="00276067">
              <w:rPr>
                <w:rFonts w:cs="Arial"/>
                <w:sz w:val="22"/>
                <w:szCs w:val="22"/>
              </w:rPr>
              <w:t>公开02表</w:t>
            </w:r>
          </w:p>
        </w:tc>
      </w:tr>
      <w:tr w:rsidR="00276067" w:rsidRPr="00276067" w:rsidTr="00276067">
        <w:trPr>
          <w:trHeight w:val="270"/>
          <w:jc w:val="center"/>
        </w:trPr>
        <w:tc>
          <w:tcPr>
            <w:tcW w:w="5152" w:type="dxa"/>
            <w:gridSpan w:val="2"/>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hint="default"/>
                <w:sz w:val="22"/>
                <w:szCs w:val="22"/>
              </w:rPr>
            </w:pPr>
            <w:r w:rsidRPr="00276067">
              <w:rPr>
                <w:rFonts w:cs="Arial"/>
                <w:sz w:val="22"/>
                <w:szCs w:val="22"/>
              </w:rPr>
              <w:t>编制单位：浙江省退役军人服务中心</w:t>
            </w:r>
          </w:p>
          <w:p w:rsidR="00276067" w:rsidRPr="00276067" w:rsidRDefault="00276067" w:rsidP="00276067">
            <w:pPr>
              <w:rPr>
                <w:rFonts w:cs="Arial"/>
                <w:sz w:val="18"/>
                <w:szCs w:val="18"/>
              </w:rPr>
            </w:pPr>
            <w:r w:rsidRPr="00276067">
              <w:rPr>
                <w:rFonts w:cs="Arial"/>
                <w:sz w:val="18"/>
                <w:szCs w:val="18"/>
              </w:rPr>
              <w:t xml:space="preserve">　</w:t>
            </w:r>
          </w:p>
        </w:tc>
        <w:tc>
          <w:tcPr>
            <w:tcW w:w="1416"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811"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417"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121"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134" w:type="dxa"/>
            <w:tcBorders>
              <w:top w:val="nil"/>
              <w:left w:val="nil"/>
              <w:bottom w:val="single" w:sz="4" w:space="0" w:color="808080"/>
              <w:right w:val="nil"/>
            </w:tcBorders>
            <w:shd w:val="clear" w:color="auto" w:fill="auto"/>
            <w:noWrap/>
            <w:vAlign w:val="center"/>
            <w:hideMark/>
          </w:tcPr>
          <w:p w:rsidR="00276067" w:rsidRPr="00276067" w:rsidRDefault="00276067" w:rsidP="00276067">
            <w:pPr>
              <w:rPr>
                <w:rFonts w:cs="Arial"/>
                <w:sz w:val="18"/>
                <w:szCs w:val="18"/>
              </w:rPr>
            </w:pPr>
            <w:r w:rsidRPr="00276067">
              <w:rPr>
                <w:rFonts w:cs="Arial"/>
                <w:sz w:val="18"/>
                <w:szCs w:val="18"/>
              </w:rPr>
              <w:t xml:space="preserve">　</w:t>
            </w:r>
          </w:p>
        </w:tc>
        <w:tc>
          <w:tcPr>
            <w:tcW w:w="1856" w:type="dxa"/>
            <w:tcBorders>
              <w:top w:val="nil"/>
              <w:left w:val="nil"/>
              <w:bottom w:val="single" w:sz="4" w:space="0" w:color="808080"/>
              <w:right w:val="nil"/>
            </w:tcBorders>
            <w:shd w:val="clear" w:color="auto" w:fill="auto"/>
            <w:noWrap/>
            <w:vAlign w:val="center"/>
            <w:hideMark/>
          </w:tcPr>
          <w:p w:rsidR="00276067" w:rsidRPr="00276067" w:rsidRDefault="00276067" w:rsidP="00276067">
            <w:pPr>
              <w:jc w:val="right"/>
              <w:rPr>
                <w:rFonts w:cs="Arial"/>
                <w:sz w:val="22"/>
                <w:szCs w:val="22"/>
              </w:rPr>
            </w:pPr>
            <w:r w:rsidRPr="00276067">
              <w:rPr>
                <w:rFonts w:cs="Arial"/>
                <w:sz w:val="22"/>
                <w:szCs w:val="22"/>
              </w:rPr>
              <w:t>金额单位：万元</w:t>
            </w:r>
          </w:p>
        </w:tc>
      </w:tr>
      <w:tr w:rsidR="00276067" w:rsidRPr="00276067" w:rsidTr="00276067">
        <w:trPr>
          <w:trHeight w:val="570"/>
          <w:jc w:val="center"/>
        </w:trPr>
        <w:tc>
          <w:tcPr>
            <w:tcW w:w="355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单位名称</w:t>
            </w:r>
          </w:p>
        </w:tc>
        <w:tc>
          <w:tcPr>
            <w:tcW w:w="1593" w:type="dxa"/>
            <w:vMerge w:val="restart"/>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本年收入合计</w:t>
            </w:r>
          </w:p>
        </w:tc>
        <w:tc>
          <w:tcPr>
            <w:tcW w:w="1416" w:type="dxa"/>
            <w:vMerge w:val="restart"/>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财政拨款收入</w:t>
            </w:r>
          </w:p>
        </w:tc>
        <w:tc>
          <w:tcPr>
            <w:tcW w:w="1811" w:type="dxa"/>
            <w:vMerge w:val="restart"/>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上级补助收入</w:t>
            </w:r>
          </w:p>
        </w:tc>
        <w:tc>
          <w:tcPr>
            <w:tcW w:w="1417" w:type="dxa"/>
            <w:vMerge w:val="restart"/>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事业收入</w:t>
            </w:r>
          </w:p>
        </w:tc>
        <w:tc>
          <w:tcPr>
            <w:tcW w:w="1121" w:type="dxa"/>
            <w:vMerge w:val="restart"/>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经营收入</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276067" w:rsidRPr="00276067" w:rsidRDefault="00276067" w:rsidP="00276067">
            <w:pPr>
              <w:jc w:val="center"/>
              <w:rPr>
                <w:rFonts w:cs="Arial"/>
                <w:sz w:val="20"/>
                <w:szCs w:val="20"/>
              </w:rPr>
            </w:pPr>
            <w:r w:rsidRPr="00276067">
              <w:rPr>
                <w:rFonts w:cs="Arial"/>
                <w:sz w:val="20"/>
                <w:szCs w:val="20"/>
              </w:rPr>
              <w:t>附属单位上缴收入</w:t>
            </w:r>
          </w:p>
        </w:tc>
        <w:tc>
          <w:tcPr>
            <w:tcW w:w="1856" w:type="dxa"/>
            <w:vMerge w:val="restart"/>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其他收入</w:t>
            </w:r>
          </w:p>
        </w:tc>
      </w:tr>
      <w:tr w:rsidR="00276067" w:rsidRPr="00276067" w:rsidTr="00276067">
        <w:trPr>
          <w:trHeight w:val="840"/>
          <w:jc w:val="center"/>
        </w:trPr>
        <w:tc>
          <w:tcPr>
            <w:tcW w:w="3559" w:type="dxa"/>
            <w:vMerge/>
            <w:tcBorders>
              <w:top w:val="nil"/>
              <w:left w:val="single" w:sz="4" w:space="0" w:color="000000"/>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593"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416"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811"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417"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121"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134"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c>
          <w:tcPr>
            <w:tcW w:w="1856" w:type="dxa"/>
            <w:vMerge/>
            <w:tcBorders>
              <w:top w:val="nil"/>
              <w:left w:val="nil"/>
              <w:bottom w:val="single" w:sz="4" w:space="0" w:color="000000"/>
              <w:right w:val="single" w:sz="4" w:space="0" w:color="000000"/>
            </w:tcBorders>
            <w:vAlign w:val="center"/>
            <w:hideMark/>
          </w:tcPr>
          <w:p w:rsidR="00276067" w:rsidRPr="00276067" w:rsidRDefault="00276067" w:rsidP="00276067">
            <w:pPr>
              <w:rPr>
                <w:rFonts w:cs="Arial"/>
                <w:sz w:val="20"/>
                <w:szCs w:val="20"/>
              </w:rPr>
            </w:pPr>
          </w:p>
        </w:tc>
      </w:tr>
      <w:tr w:rsidR="00276067" w:rsidRPr="00276067" w:rsidTr="00276067">
        <w:trPr>
          <w:trHeight w:val="315"/>
          <w:jc w:val="center"/>
        </w:trPr>
        <w:tc>
          <w:tcPr>
            <w:tcW w:w="3559"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栏次</w:t>
            </w:r>
          </w:p>
        </w:tc>
        <w:tc>
          <w:tcPr>
            <w:tcW w:w="159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1</w:t>
            </w:r>
          </w:p>
        </w:tc>
        <w:tc>
          <w:tcPr>
            <w:tcW w:w="1416"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2</w:t>
            </w:r>
          </w:p>
        </w:tc>
        <w:tc>
          <w:tcPr>
            <w:tcW w:w="1811"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3</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4</w:t>
            </w:r>
          </w:p>
        </w:tc>
        <w:tc>
          <w:tcPr>
            <w:tcW w:w="1121"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6</w:t>
            </w:r>
          </w:p>
        </w:tc>
        <w:tc>
          <w:tcPr>
            <w:tcW w:w="1856"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7</w:t>
            </w:r>
          </w:p>
        </w:tc>
      </w:tr>
      <w:tr w:rsidR="00276067" w:rsidRPr="00276067" w:rsidTr="00276067">
        <w:trPr>
          <w:trHeight w:val="300"/>
          <w:jc w:val="center"/>
        </w:trPr>
        <w:tc>
          <w:tcPr>
            <w:tcW w:w="3559"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jc w:val="center"/>
              <w:rPr>
                <w:rFonts w:cs="Arial"/>
                <w:sz w:val="20"/>
                <w:szCs w:val="20"/>
              </w:rPr>
            </w:pPr>
            <w:r w:rsidRPr="00276067">
              <w:rPr>
                <w:rFonts w:cs="Arial"/>
                <w:sz w:val="20"/>
                <w:szCs w:val="20"/>
              </w:rPr>
              <w:t>合计</w:t>
            </w:r>
          </w:p>
        </w:tc>
        <w:tc>
          <w:tcPr>
            <w:tcW w:w="159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417.92</w:t>
            </w:r>
          </w:p>
        </w:tc>
        <w:tc>
          <w:tcPr>
            <w:tcW w:w="1416"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417.89</w:t>
            </w:r>
          </w:p>
        </w:tc>
        <w:tc>
          <w:tcPr>
            <w:tcW w:w="1811"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121"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856"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0.03</w:t>
            </w:r>
          </w:p>
        </w:tc>
      </w:tr>
      <w:tr w:rsidR="00276067" w:rsidRPr="00276067" w:rsidTr="00276067">
        <w:trPr>
          <w:trHeight w:val="300"/>
          <w:jc w:val="center"/>
        </w:trPr>
        <w:tc>
          <w:tcPr>
            <w:tcW w:w="3559" w:type="dxa"/>
            <w:tcBorders>
              <w:top w:val="nil"/>
              <w:left w:val="single" w:sz="4" w:space="0" w:color="000000"/>
              <w:bottom w:val="single" w:sz="4" w:space="0" w:color="000000"/>
              <w:right w:val="single" w:sz="4" w:space="0" w:color="000000"/>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浙江省退役军人服务中心</w:t>
            </w:r>
          </w:p>
        </w:tc>
        <w:tc>
          <w:tcPr>
            <w:tcW w:w="1593"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417.92</w:t>
            </w:r>
          </w:p>
        </w:tc>
        <w:tc>
          <w:tcPr>
            <w:tcW w:w="1416"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417.89</w:t>
            </w:r>
          </w:p>
        </w:tc>
        <w:tc>
          <w:tcPr>
            <w:tcW w:w="1811"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121"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 xml:space="preserve">　</w:t>
            </w:r>
          </w:p>
        </w:tc>
        <w:tc>
          <w:tcPr>
            <w:tcW w:w="1856" w:type="dxa"/>
            <w:tcBorders>
              <w:top w:val="nil"/>
              <w:left w:val="nil"/>
              <w:bottom w:val="single" w:sz="4" w:space="0" w:color="000000"/>
              <w:right w:val="single" w:sz="4" w:space="0" w:color="000000"/>
            </w:tcBorders>
            <w:shd w:val="clear" w:color="auto" w:fill="auto"/>
            <w:noWrap/>
            <w:vAlign w:val="center"/>
            <w:hideMark/>
          </w:tcPr>
          <w:p w:rsidR="00276067" w:rsidRPr="00276067" w:rsidRDefault="00276067" w:rsidP="00276067">
            <w:pPr>
              <w:jc w:val="right"/>
              <w:rPr>
                <w:rFonts w:cs="Arial"/>
                <w:sz w:val="20"/>
                <w:szCs w:val="20"/>
              </w:rPr>
            </w:pPr>
            <w:r w:rsidRPr="00276067">
              <w:rPr>
                <w:rFonts w:cs="Arial"/>
                <w:sz w:val="20"/>
                <w:szCs w:val="20"/>
              </w:rPr>
              <w:t>0.03</w:t>
            </w:r>
          </w:p>
        </w:tc>
      </w:tr>
      <w:tr w:rsidR="00276067" w:rsidRPr="00276067" w:rsidTr="00276067">
        <w:trPr>
          <w:trHeight w:val="300"/>
          <w:jc w:val="center"/>
        </w:trPr>
        <w:tc>
          <w:tcPr>
            <w:tcW w:w="13907" w:type="dxa"/>
            <w:gridSpan w:val="8"/>
            <w:tcBorders>
              <w:top w:val="nil"/>
              <w:left w:val="nil"/>
              <w:bottom w:val="nil"/>
              <w:right w:val="nil"/>
            </w:tcBorders>
            <w:shd w:val="clear" w:color="auto" w:fill="auto"/>
            <w:noWrap/>
            <w:vAlign w:val="center"/>
            <w:hideMark/>
          </w:tcPr>
          <w:p w:rsidR="00276067" w:rsidRPr="00276067" w:rsidRDefault="00276067" w:rsidP="00276067">
            <w:pPr>
              <w:rPr>
                <w:rFonts w:cs="Arial"/>
                <w:sz w:val="20"/>
                <w:szCs w:val="20"/>
              </w:rPr>
            </w:pPr>
            <w:r w:rsidRPr="00276067">
              <w:rPr>
                <w:rFonts w:cs="Arial"/>
                <w:sz w:val="20"/>
                <w:szCs w:val="20"/>
              </w:rPr>
              <w:t>注：本表反映本年度取得各项收入情况。</w:t>
            </w:r>
          </w:p>
        </w:tc>
      </w:tr>
    </w:tbl>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p w:rsidR="00276067" w:rsidRDefault="00276067">
      <w:pPr>
        <w:pStyle w:val="Default"/>
        <w:ind w:firstLine="600"/>
        <w:jc w:val="both"/>
        <w:rPr>
          <w:rFonts w:ascii="Times New Roman" w:hAnsi="Times New Roman"/>
          <w:sz w:val="32"/>
          <w:szCs w:val="32"/>
        </w:rPr>
      </w:pPr>
    </w:p>
    <w:tbl>
      <w:tblPr>
        <w:tblW w:w="15120" w:type="dxa"/>
        <w:jc w:val="center"/>
        <w:tblInd w:w="93" w:type="dxa"/>
        <w:tblLook w:val="04A0" w:firstRow="1" w:lastRow="0" w:firstColumn="1" w:lastColumn="0" w:noHBand="0" w:noVBand="1"/>
      </w:tblPr>
      <w:tblGrid>
        <w:gridCol w:w="416"/>
        <w:gridCol w:w="416"/>
        <w:gridCol w:w="416"/>
        <w:gridCol w:w="4508"/>
        <w:gridCol w:w="1616"/>
        <w:gridCol w:w="1616"/>
        <w:gridCol w:w="1616"/>
        <w:gridCol w:w="1091"/>
        <w:gridCol w:w="1091"/>
        <w:gridCol w:w="1334"/>
        <w:gridCol w:w="1340"/>
      </w:tblGrid>
      <w:tr w:rsidR="00AF60D8" w:rsidRPr="00AF60D8" w:rsidTr="00AF60D8">
        <w:trPr>
          <w:trHeight w:val="555"/>
          <w:jc w:val="center"/>
        </w:trPr>
        <w:tc>
          <w:tcPr>
            <w:tcW w:w="15120" w:type="dxa"/>
            <w:gridSpan w:val="11"/>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收入决算表（分科目）</w:t>
            </w:r>
          </w:p>
        </w:tc>
      </w:tr>
      <w:tr w:rsidR="00AF60D8" w:rsidRPr="00AF60D8" w:rsidTr="00AF60D8">
        <w:trPr>
          <w:trHeight w:val="270"/>
          <w:jc w:val="center"/>
        </w:trPr>
        <w:tc>
          <w:tcPr>
            <w:tcW w:w="303"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03"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02"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508"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61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61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61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09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09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33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340"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公开03表</w:t>
            </w:r>
          </w:p>
        </w:tc>
      </w:tr>
      <w:tr w:rsidR="00AF60D8" w:rsidRPr="00AF60D8" w:rsidTr="00AF60D8">
        <w:trPr>
          <w:trHeight w:val="270"/>
          <w:jc w:val="center"/>
        </w:trPr>
        <w:tc>
          <w:tcPr>
            <w:tcW w:w="5416" w:type="dxa"/>
            <w:gridSpan w:val="4"/>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编制单位：浙江省退役军人服务中心</w:t>
            </w:r>
          </w:p>
        </w:tc>
        <w:tc>
          <w:tcPr>
            <w:tcW w:w="161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61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61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09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09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2674" w:type="dxa"/>
            <w:gridSpan w:val="2"/>
            <w:tcBorders>
              <w:top w:val="nil"/>
              <w:left w:val="nil"/>
              <w:bottom w:val="single" w:sz="4" w:space="0" w:color="808080"/>
              <w:right w:val="nil"/>
            </w:tcBorders>
            <w:shd w:val="clear" w:color="auto" w:fill="auto"/>
            <w:noWrap/>
            <w:vAlign w:val="center"/>
            <w:hideMark/>
          </w:tcPr>
          <w:p w:rsidR="00AF60D8" w:rsidRPr="00AF60D8" w:rsidRDefault="00AF60D8" w:rsidP="00AF60D8">
            <w:pPr>
              <w:jc w:val="center"/>
              <w:rPr>
                <w:rFonts w:cs="Arial"/>
                <w:sz w:val="22"/>
                <w:szCs w:val="22"/>
              </w:rPr>
            </w:pPr>
            <w:r>
              <w:rPr>
                <w:rFonts w:cs="Arial"/>
                <w:sz w:val="22"/>
                <w:szCs w:val="22"/>
              </w:rPr>
              <w:t xml:space="preserve">        </w:t>
            </w:r>
            <w:r w:rsidRPr="00AF60D8">
              <w:rPr>
                <w:rFonts w:cs="Arial"/>
                <w:sz w:val="22"/>
                <w:szCs w:val="22"/>
              </w:rPr>
              <w:t>金额单位：万元</w:t>
            </w:r>
          </w:p>
        </w:tc>
      </w:tr>
      <w:tr w:rsidR="00AF60D8" w:rsidRPr="00AF60D8" w:rsidTr="00AF60D8">
        <w:trPr>
          <w:trHeight w:val="300"/>
          <w:jc w:val="center"/>
        </w:trPr>
        <w:tc>
          <w:tcPr>
            <w:tcW w:w="541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项目</w:t>
            </w:r>
          </w:p>
        </w:tc>
        <w:tc>
          <w:tcPr>
            <w:tcW w:w="1616"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本年收入合计</w:t>
            </w:r>
          </w:p>
        </w:tc>
        <w:tc>
          <w:tcPr>
            <w:tcW w:w="1616"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财政拨款收入</w:t>
            </w:r>
          </w:p>
        </w:tc>
        <w:tc>
          <w:tcPr>
            <w:tcW w:w="1616"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上级补助收入</w:t>
            </w:r>
          </w:p>
        </w:tc>
        <w:tc>
          <w:tcPr>
            <w:tcW w:w="1091"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事业收入</w:t>
            </w:r>
          </w:p>
        </w:tc>
        <w:tc>
          <w:tcPr>
            <w:tcW w:w="1091"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经营收入</w:t>
            </w:r>
          </w:p>
        </w:tc>
        <w:tc>
          <w:tcPr>
            <w:tcW w:w="1334"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附属单位上缴收入</w:t>
            </w:r>
          </w:p>
        </w:tc>
        <w:tc>
          <w:tcPr>
            <w:tcW w:w="1340"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其他收入</w:t>
            </w:r>
          </w:p>
        </w:tc>
      </w:tr>
      <w:tr w:rsidR="00AF60D8" w:rsidRPr="00AF60D8" w:rsidTr="00AF60D8">
        <w:trPr>
          <w:trHeight w:val="312"/>
          <w:jc w:val="center"/>
        </w:trPr>
        <w:tc>
          <w:tcPr>
            <w:tcW w:w="908"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支出功能分类科目编码</w:t>
            </w:r>
          </w:p>
        </w:tc>
        <w:tc>
          <w:tcPr>
            <w:tcW w:w="4508"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9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9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3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908"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50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9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9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3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908"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50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1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9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9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3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00"/>
          <w:jc w:val="center"/>
        </w:trPr>
        <w:tc>
          <w:tcPr>
            <w:tcW w:w="30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类</w:t>
            </w:r>
          </w:p>
        </w:tc>
        <w:tc>
          <w:tcPr>
            <w:tcW w:w="303"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款</w:t>
            </w:r>
          </w:p>
        </w:tc>
        <w:tc>
          <w:tcPr>
            <w:tcW w:w="302"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项</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栏次</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7</w:t>
            </w:r>
          </w:p>
        </w:tc>
      </w:tr>
      <w:tr w:rsidR="00AF60D8" w:rsidRPr="00AF60D8" w:rsidTr="00AF60D8">
        <w:trPr>
          <w:trHeight w:val="300"/>
          <w:jc w:val="center"/>
        </w:trPr>
        <w:tc>
          <w:tcPr>
            <w:tcW w:w="303"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2"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417.92</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417.89</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0.03</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社会保障和就业支出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368.28</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368.25</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0.03</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行政事业单位养老支出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22.20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22.20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2080505</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机关事业单位基本养老保险缴费支出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13.80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13.80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2080506</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机关事业单位职业年金缴费支出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8.40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8.40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退役军人管理事务</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346.08</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346.05</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0.03</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2082850</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事业运行</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257.27</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257.24</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0.03</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2082899</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其他退役军人事务管理支出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88.81</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88.81</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卫生健康支出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21011</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行政事业单位医疗</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2101102</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事业单位医疗</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7.20</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住房保障支出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42.44</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42.44</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住房改革支出</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42.44</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42.44</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2210201</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住房公积金</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21.01</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21.01</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2210203</w:t>
            </w:r>
          </w:p>
        </w:tc>
        <w:tc>
          <w:tcPr>
            <w:tcW w:w="450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购房补贴</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21.43</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21.43</w:t>
            </w:r>
          </w:p>
        </w:tc>
        <w:tc>
          <w:tcPr>
            <w:tcW w:w="161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9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3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5120" w:type="dxa"/>
            <w:gridSpan w:val="11"/>
            <w:tcBorders>
              <w:top w:val="nil"/>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注：本表反映本年度取得各项收入情况。</w:t>
            </w: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3620" w:type="dxa"/>
        <w:jc w:val="center"/>
        <w:tblInd w:w="93" w:type="dxa"/>
        <w:tblLook w:val="04A0" w:firstRow="1" w:lastRow="0" w:firstColumn="1" w:lastColumn="0" w:noHBand="0" w:noVBand="1"/>
      </w:tblPr>
      <w:tblGrid>
        <w:gridCol w:w="3500"/>
        <w:gridCol w:w="1540"/>
        <w:gridCol w:w="1600"/>
        <w:gridCol w:w="1660"/>
        <w:gridCol w:w="1720"/>
        <w:gridCol w:w="1800"/>
        <w:gridCol w:w="1800"/>
      </w:tblGrid>
      <w:tr w:rsidR="00AF60D8" w:rsidRPr="00AF60D8" w:rsidTr="00BD7B07">
        <w:trPr>
          <w:trHeight w:val="555"/>
          <w:jc w:val="center"/>
        </w:trPr>
        <w:tc>
          <w:tcPr>
            <w:tcW w:w="13620" w:type="dxa"/>
            <w:gridSpan w:val="7"/>
            <w:tcBorders>
              <w:top w:val="nil"/>
              <w:left w:val="nil"/>
              <w:bottom w:val="nil"/>
              <w:right w:val="nil"/>
            </w:tcBorders>
            <w:shd w:val="clear" w:color="auto" w:fill="auto"/>
            <w:noWrap/>
            <w:vAlign w:val="center"/>
            <w:hideMark/>
          </w:tcPr>
          <w:p w:rsidR="00AF60D8" w:rsidRPr="00AF60D8" w:rsidRDefault="00AF60D8" w:rsidP="00AF60D8">
            <w:pPr>
              <w:jc w:val="center"/>
              <w:rPr>
                <w:rFonts w:cs="Arial"/>
                <w:sz w:val="18"/>
                <w:szCs w:val="18"/>
              </w:rPr>
            </w:pPr>
            <w:r w:rsidRPr="00AF60D8">
              <w:rPr>
                <w:rFonts w:ascii="黑体" w:eastAsia="黑体" w:hAnsi="黑体" w:cs="Arial"/>
                <w:sz w:val="30"/>
                <w:szCs w:val="30"/>
              </w:rPr>
              <w:lastRenderedPageBreak/>
              <w:t>支出决算表（分单位）</w:t>
            </w:r>
          </w:p>
        </w:tc>
      </w:tr>
      <w:tr w:rsidR="00AF60D8" w:rsidRPr="00AF60D8" w:rsidTr="00AF60D8">
        <w:trPr>
          <w:trHeight w:val="270"/>
          <w:jc w:val="center"/>
        </w:trPr>
        <w:tc>
          <w:tcPr>
            <w:tcW w:w="35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5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6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66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72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8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800"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公开04表</w:t>
            </w:r>
          </w:p>
        </w:tc>
      </w:tr>
      <w:tr w:rsidR="00AF60D8" w:rsidRPr="00AF60D8" w:rsidTr="00AF60D8">
        <w:trPr>
          <w:trHeight w:val="270"/>
          <w:jc w:val="center"/>
        </w:trPr>
        <w:tc>
          <w:tcPr>
            <w:tcW w:w="5040" w:type="dxa"/>
            <w:gridSpan w:val="2"/>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编制单位：浙江省退役军人服务中心</w:t>
            </w:r>
          </w:p>
        </w:tc>
        <w:tc>
          <w:tcPr>
            <w:tcW w:w="1600"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660"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720"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12"/>
          <w:jc w:val="center"/>
        </w:trPr>
        <w:tc>
          <w:tcPr>
            <w:tcW w:w="35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单位名称</w:t>
            </w:r>
          </w:p>
        </w:tc>
        <w:tc>
          <w:tcPr>
            <w:tcW w:w="154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本年支出合计</w:t>
            </w:r>
          </w:p>
        </w:tc>
        <w:tc>
          <w:tcPr>
            <w:tcW w:w="160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基本支出</w:t>
            </w:r>
          </w:p>
        </w:tc>
        <w:tc>
          <w:tcPr>
            <w:tcW w:w="166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项目支出</w:t>
            </w:r>
          </w:p>
        </w:tc>
        <w:tc>
          <w:tcPr>
            <w:tcW w:w="172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上缴上级支出</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经营支出</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对附属单位补助支出</w:t>
            </w:r>
          </w:p>
        </w:tc>
      </w:tr>
      <w:tr w:rsidR="00AF60D8" w:rsidRPr="00AF60D8" w:rsidTr="00AF60D8">
        <w:trPr>
          <w:trHeight w:val="450"/>
          <w:jc w:val="center"/>
        </w:trPr>
        <w:tc>
          <w:tcPr>
            <w:tcW w:w="3500"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5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6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72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00"/>
          <w:jc w:val="center"/>
        </w:trPr>
        <w:tc>
          <w:tcPr>
            <w:tcW w:w="350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栏次</w:t>
            </w:r>
          </w:p>
        </w:tc>
        <w:tc>
          <w:tcPr>
            <w:tcW w:w="15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16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166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w:t>
            </w:r>
          </w:p>
        </w:tc>
        <w:tc>
          <w:tcPr>
            <w:tcW w:w="17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w:t>
            </w:r>
          </w:p>
        </w:tc>
        <w:tc>
          <w:tcPr>
            <w:tcW w:w="18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w:t>
            </w:r>
          </w:p>
        </w:tc>
        <w:tc>
          <w:tcPr>
            <w:tcW w:w="18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w:t>
            </w:r>
          </w:p>
        </w:tc>
      </w:tr>
      <w:tr w:rsidR="00AF60D8" w:rsidRPr="00AF60D8" w:rsidTr="00AF60D8">
        <w:trPr>
          <w:trHeight w:val="300"/>
          <w:jc w:val="center"/>
        </w:trPr>
        <w:tc>
          <w:tcPr>
            <w:tcW w:w="350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15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469.87</w:t>
            </w:r>
          </w:p>
        </w:tc>
        <w:tc>
          <w:tcPr>
            <w:tcW w:w="16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363.83</w:t>
            </w:r>
          </w:p>
        </w:tc>
        <w:tc>
          <w:tcPr>
            <w:tcW w:w="166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7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50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浙江省退役军人服务中心</w:t>
            </w:r>
          </w:p>
        </w:tc>
        <w:tc>
          <w:tcPr>
            <w:tcW w:w="15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469.87</w:t>
            </w:r>
          </w:p>
        </w:tc>
        <w:tc>
          <w:tcPr>
            <w:tcW w:w="16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363.83</w:t>
            </w:r>
          </w:p>
        </w:tc>
        <w:tc>
          <w:tcPr>
            <w:tcW w:w="166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7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3620" w:type="dxa"/>
            <w:gridSpan w:val="7"/>
            <w:tcBorders>
              <w:top w:val="nil"/>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注：本表反映本年度各项支出情况。</w:t>
            </w: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3240" w:type="dxa"/>
        <w:jc w:val="center"/>
        <w:tblInd w:w="93" w:type="dxa"/>
        <w:tblLook w:val="04A0" w:firstRow="1" w:lastRow="0" w:firstColumn="1" w:lastColumn="0" w:noHBand="0" w:noVBand="1"/>
      </w:tblPr>
      <w:tblGrid>
        <w:gridCol w:w="416"/>
        <w:gridCol w:w="416"/>
        <w:gridCol w:w="416"/>
        <w:gridCol w:w="4465"/>
        <w:gridCol w:w="1321"/>
        <w:gridCol w:w="1295"/>
        <w:gridCol w:w="1347"/>
        <w:gridCol w:w="1113"/>
        <w:gridCol w:w="1081"/>
        <w:gridCol w:w="1718"/>
      </w:tblGrid>
      <w:tr w:rsidR="00AF60D8" w:rsidRPr="00AF60D8" w:rsidTr="00AF60D8">
        <w:trPr>
          <w:trHeight w:val="555"/>
          <w:jc w:val="center"/>
        </w:trPr>
        <w:tc>
          <w:tcPr>
            <w:tcW w:w="13240" w:type="dxa"/>
            <w:gridSpan w:val="10"/>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支出决算表（分科目）</w:t>
            </w:r>
          </w:p>
        </w:tc>
      </w:tr>
      <w:tr w:rsidR="00AF60D8" w:rsidRPr="00AF60D8" w:rsidTr="00AF60D8">
        <w:trPr>
          <w:trHeight w:val="270"/>
          <w:jc w:val="center"/>
        </w:trPr>
        <w:tc>
          <w:tcPr>
            <w:tcW w:w="3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465"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32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295"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347"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113"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08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718"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公开05表</w:t>
            </w:r>
          </w:p>
        </w:tc>
      </w:tr>
      <w:tr w:rsidR="00AF60D8" w:rsidRPr="00AF60D8" w:rsidTr="00AF60D8">
        <w:trPr>
          <w:trHeight w:val="270"/>
          <w:jc w:val="center"/>
        </w:trPr>
        <w:tc>
          <w:tcPr>
            <w:tcW w:w="5365" w:type="dxa"/>
            <w:gridSpan w:val="4"/>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编制单位：浙江省退役军人服务中心</w:t>
            </w:r>
          </w:p>
        </w:tc>
        <w:tc>
          <w:tcPr>
            <w:tcW w:w="132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295"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347"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113"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2799" w:type="dxa"/>
            <w:gridSpan w:val="2"/>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00"/>
          <w:jc w:val="center"/>
        </w:trPr>
        <w:tc>
          <w:tcPr>
            <w:tcW w:w="5365"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项目</w:t>
            </w:r>
          </w:p>
        </w:tc>
        <w:tc>
          <w:tcPr>
            <w:tcW w:w="1321"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本年支出合计</w:t>
            </w:r>
          </w:p>
        </w:tc>
        <w:tc>
          <w:tcPr>
            <w:tcW w:w="1295"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基本支出</w:t>
            </w:r>
          </w:p>
        </w:tc>
        <w:tc>
          <w:tcPr>
            <w:tcW w:w="1347"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项目支出</w:t>
            </w:r>
          </w:p>
        </w:tc>
        <w:tc>
          <w:tcPr>
            <w:tcW w:w="1113"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上缴上级支出</w:t>
            </w:r>
          </w:p>
        </w:tc>
        <w:tc>
          <w:tcPr>
            <w:tcW w:w="1081"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经营支出</w:t>
            </w:r>
          </w:p>
        </w:tc>
        <w:tc>
          <w:tcPr>
            <w:tcW w:w="1718"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对附属单位补助支出</w:t>
            </w:r>
          </w:p>
        </w:tc>
      </w:tr>
      <w:tr w:rsidR="00AF60D8" w:rsidRPr="00AF60D8" w:rsidTr="00AF60D8">
        <w:trPr>
          <w:trHeight w:val="312"/>
          <w:jc w:val="center"/>
        </w:trPr>
        <w:tc>
          <w:tcPr>
            <w:tcW w:w="90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支出功能分类科目编码</w:t>
            </w:r>
          </w:p>
        </w:tc>
        <w:tc>
          <w:tcPr>
            <w:tcW w:w="4465"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132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29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4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11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8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71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900"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46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2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29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4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11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8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71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900"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46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2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29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4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11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8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71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00"/>
          <w:jc w:val="center"/>
        </w:trPr>
        <w:tc>
          <w:tcPr>
            <w:tcW w:w="3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类</w:t>
            </w:r>
          </w:p>
        </w:tc>
        <w:tc>
          <w:tcPr>
            <w:tcW w:w="300"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款</w:t>
            </w:r>
          </w:p>
        </w:tc>
        <w:tc>
          <w:tcPr>
            <w:tcW w:w="300"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项</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栏次</w:t>
            </w:r>
          </w:p>
        </w:tc>
        <w:tc>
          <w:tcPr>
            <w:tcW w:w="1321"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1295"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1347"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3</w:t>
            </w:r>
          </w:p>
        </w:tc>
        <w:tc>
          <w:tcPr>
            <w:tcW w:w="1113"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4</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w:t>
            </w:r>
          </w:p>
        </w:tc>
      </w:tr>
      <w:tr w:rsidR="00AF60D8" w:rsidRPr="00AF60D8" w:rsidTr="00AF60D8">
        <w:trPr>
          <w:trHeight w:val="300"/>
          <w:jc w:val="center"/>
        </w:trPr>
        <w:tc>
          <w:tcPr>
            <w:tcW w:w="300"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469.87</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363.83</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社会保障和就业支出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401.39</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295.35</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行政事业单位养老支出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28.01</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28.01</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2080505</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机关事业单位基本养老保险缴费支出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18.67</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18.67</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2080506</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机关事业单位职业年金缴费支出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9.34</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9.34</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退役军人管理事务</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373.39</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267.35</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2082850</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事业运行</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267.35</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267.35</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2082899</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其他退役军人事务管理支出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卫生健康支出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21011</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行政事业单位医疗</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2101102</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事业单位医疗</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住房保障支出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住房改革支出</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2210201</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住房公积金</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26.78</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26.78</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9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2210203</w:t>
            </w:r>
          </w:p>
        </w:tc>
        <w:tc>
          <w:tcPr>
            <w:tcW w:w="446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购房补贴</w:t>
            </w:r>
          </w:p>
        </w:tc>
        <w:tc>
          <w:tcPr>
            <w:tcW w:w="132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32.61</w:t>
            </w:r>
          </w:p>
        </w:tc>
        <w:tc>
          <w:tcPr>
            <w:tcW w:w="12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32.61</w:t>
            </w:r>
          </w:p>
        </w:tc>
        <w:tc>
          <w:tcPr>
            <w:tcW w:w="134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1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08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71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3240" w:type="dxa"/>
            <w:gridSpan w:val="10"/>
            <w:tcBorders>
              <w:top w:val="nil"/>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注：本表反映本年度各项支出情况。</w:t>
            </w: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4240" w:type="dxa"/>
        <w:jc w:val="center"/>
        <w:tblInd w:w="93" w:type="dxa"/>
        <w:tblLook w:val="04A0" w:firstRow="1" w:lastRow="0" w:firstColumn="1" w:lastColumn="0" w:noHBand="0" w:noVBand="1"/>
      </w:tblPr>
      <w:tblGrid>
        <w:gridCol w:w="3620"/>
        <w:gridCol w:w="486"/>
        <w:gridCol w:w="967"/>
        <w:gridCol w:w="3776"/>
        <w:gridCol w:w="486"/>
        <w:gridCol w:w="816"/>
        <w:gridCol w:w="1195"/>
        <w:gridCol w:w="931"/>
        <w:gridCol w:w="2023"/>
      </w:tblGrid>
      <w:tr w:rsidR="00AF60D8" w:rsidRPr="00AF60D8" w:rsidTr="00AF60D8">
        <w:trPr>
          <w:trHeight w:val="375"/>
          <w:jc w:val="center"/>
        </w:trPr>
        <w:tc>
          <w:tcPr>
            <w:tcW w:w="14240" w:type="dxa"/>
            <w:gridSpan w:val="9"/>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财政拨款收入支出决算总表</w:t>
            </w:r>
          </w:p>
        </w:tc>
      </w:tr>
      <w:tr w:rsidR="00AF60D8" w:rsidRPr="00AF60D8" w:rsidTr="00AF60D8">
        <w:trPr>
          <w:trHeight w:val="270"/>
          <w:jc w:val="center"/>
        </w:trPr>
        <w:tc>
          <w:tcPr>
            <w:tcW w:w="362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8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967"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77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8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75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195"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93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023"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公开06表</w:t>
            </w:r>
          </w:p>
        </w:tc>
      </w:tr>
      <w:tr w:rsidR="00AF60D8" w:rsidRPr="00AF60D8" w:rsidTr="00AF60D8">
        <w:trPr>
          <w:trHeight w:val="270"/>
          <w:jc w:val="center"/>
        </w:trPr>
        <w:tc>
          <w:tcPr>
            <w:tcW w:w="4106" w:type="dxa"/>
            <w:gridSpan w:val="2"/>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部门：浙江省退役军人服务中心</w:t>
            </w:r>
          </w:p>
        </w:tc>
        <w:tc>
          <w:tcPr>
            <w:tcW w:w="967"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377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48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75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195"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93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2023" w:type="dxa"/>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00"/>
          <w:jc w:val="center"/>
        </w:trPr>
        <w:tc>
          <w:tcPr>
            <w:tcW w:w="507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收     入</w:t>
            </w:r>
          </w:p>
        </w:tc>
        <w:tc>
          <w:tcPr>
            <w:tcW w:w="9167" w:type="dxa"/>
            <w:gridSpan w:val="6"/>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支     出</w:t>
            </w:r>
          </w:p>
        </w:tc>
      </w:tr>
      <w:tr w:rsidR="00AF60D8" w:rsidRPr="00AF60D8" w:rsidTr="00AF60D8">
        <w:trPr>
          <w:trHeight w:val="312"/>
          <w:jc w:val="center"/>
        </w:trPr>
        <w:tc>
          <w:tcPr>
            <w:tcW w:w="3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项目</w:t>
            </w:r>
          </w:p>
        </w:tc>
        <w:tc>
          <w:tcPr>
            <w:tcW w:w="486"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行次</w:t>
            </w:r>
          </w:p>
        </w:tc>
        <w:tc>
          <w:tcPr>
            <w:tcW w:w="967"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金额</w:t>
            </w:r>
          </w:p>
        </w:tc>
        <w:tc>
          <w:tcPr>
            <w:tcW w:w="3776" w:type="dxa"/>
            <w:vMerge w:val="restart"/>
            <w:tcBorders>
              <w:top w:val="nil"/>
              <w:left w:val="nil"/>
              <w:bottom w:val="single" w:sz="4" w:space="0" w:color="000000"/>
              <w:right w:val="single" w:sz="4" w:space="0" w:color="000000"/>
            </w:tcBorders>
            <w:shd w:val="clear" w:color="auto" w:fill="auto"/>
            <w:vAlign w:val="bottom"/>
            <w:hideMark/>
          </w:tcPr>
          <w:p w:rsidR="00AF60D8" w:rsidRPr="00AF60D8" w:rsidRDefault="00AF60D8" w:rsidP="00AF60D8">
            <w:pPr>
              <w:rPr>
                <w:rFonts w:cs="Arial"/>
                <w:sz w:val="20"/>
                <w:szCs w:val="20"/>
              </w:rPr>
            </w:pPr>
            <w:r w:rsidRPr="00AF60D8">
              <w:rPr>
                <w:rFonts w:cs="Arial"/>
                <w:sz w:val="20"/>
                <w:szCs w:val="20"/>
              </w:rPr>
              <w:t>项目</w:t>
            </w:r>
          </w:p>
        </w:tc>
        <w:tc>
          <w:tcPr>
            <w:tcW w:w="486"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行次</w:t>
            </w:r>
          </w:p>
        </w:tc>
        <w:tc>
          <w:tcPr>
            <w:tcW w:w="756"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1195"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一般公共预算财政拨款</w:t>
            </w:r>
          </w:p>
        </w:tc>
        <w:tc>
          <w:tcPr>
            <w:tcW w:w="931"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政府性基金预算财政拨款</w:t>
            </w:r>
          </w:p>
        </w:tc>
        <w:tc>
          <w:tcPr>
            <w:tcW w:w="2023"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国有资本经营预算财政拨款</w:t>
            </w:r>
          </w:p>
        </w:tc>
      </w:tr>
      <w:tr w:rsidR="00AF60D8" w:rsidRPr="00AF60D8" w:rsidTr="00AF60D8">
        <w:trPr>
          <w:trHeight w:val="600"/>
          <w:jc w:val="center"/>
        </w:trPr>
        <w:tc>
          <w:tcPr>
            <w:tcW w:w="3620"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8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96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77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8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75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19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93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02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栏次</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 xml:space="preserve">　</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3776" w:type="dxa"/>
            <w:tcBorders>
              <w:top w:val="nil"/>
              <w:left w:val="nil"/>
              <w:bottom w:val="single" w:sz="4" w:space="0" w:color="000000"/>
              <w:right w:val="single" w:sz="4" w:space="0" w:color="000000"/>
            </w:tcBorders>
            <w:shd w:val="clear" w:color="auto" w:fill="auto"/>
            <w:noWrap/>
            <w:vAlign w:val="bottom"/>
            <w:hideMark/>
          </w:tcPr>
          <w:p w:rsidR="00AF60D8" w:rsidRPr="00AF60D8" w:rsidRDefault="00AF60D8" w:rsidP="00AF60D8">
            <w:pPr>
              <w:rPr>
                <w:rFonts w:cs="Arial"/>
                <w:sz w:val="20"/>
                <w:szCs w:val="20"/>
              </w:rPr>
            </w:pPr>
            <w:r w:rsidRPr="00AF60D8">
              <w:rPr>
                <w:rFonts w:cs="Arial"/>
                <w:sz w:val="20"/>
                <w:szCs w:val="20"/>
              </w:rPr>
              <w:t>栏次</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 xml:space="preserve">　</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一、一般公共预算财政拨款</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417.89</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一、一般公共服务支出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33</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二、政府性基金预算财政拨款</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二、外交支出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34</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三、国有资本经营预算财政拨款</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三、国防支出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35</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四、公共安全支出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36</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五、教育支出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37</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六、科学技术支出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38</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7</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七、文化旅游体育与传媒支出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39</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8</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八、社会保障和就业支出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40</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401.39</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401.39</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9</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九、卫生健康支出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41</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10</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十、节能环保支出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42</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11</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十一、城乡社区支出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43</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12</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十二、农林水支出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44</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13</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十三、交通运输支出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45</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14</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十四、资源勘探工业信息等支出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46</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15</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十五、商业服务业等支出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47</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16</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十六、金融支出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48</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17</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十七、援助其他地区支出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49</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18</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十八、自然资源海洋气象等支出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50</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19</w:t>
            </w:r>
          </w:p>
        </w:tc>
        <w:tc>
          <w:tcPr>
            <w:tcW w:w="96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十九、住房保障支出</w:t>
            </w:r>
          </w:p>
        </w:tc>
        <w:tc>
          <w:tcPr>
            <w:tcW w:w="48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51</w:t>
            </w:r>
          </w:p>
        </w:tc>
        <w:tc>
          <w:tcPr>
            <w:tcW w:w="75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119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93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nil"/>
              <w:left w:val="single" w:sz="4" w:space="0" w:color="000000"/>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20</w:t>
            </w:r>
          </w:p>
        </w:tc>
        <w:tc>
          <w:tcPr>
            <w:tcW w:w="967"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二十、粮油物资储备支出</w:t>
            </w:r>
          </w:p>
        </w:tc>
        <w:tc>
          <w:tcPr>
            <w:tcW w:w="486"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52</w:t>
            </w:r>
          </w:p>
        </w:tc>
        <w:tc>
          <w:tcPr>
            <w:tcW w:w="756"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lastRenderedPageBreak/>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二十一、国有资本经营预算支出</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二十二、灾害防治及应急管理支出</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二十三、其他支出</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二十四、债务还本支出</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二十五、债务付息支出</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二十六、抗疫特别国债安排的支出</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b/>
                <w:bCs/>
                <w:sz w:val="20"/>
                <w:szCs w:val="20"/>
              </w:rPr>
            </w:pPr>
            <w:r w:rsidRPr="00AF60D8">
              <w:rPr>
                <w:rFonts w:cs="Arial"/>
                <w:b/>
                <w:bCs/>
                <w:sz w:val="20"/>
                <w:szCs w:val="20"/>
              </w:rPr>
              <w:t>本年收入合计</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417.89</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b/>
                <w:bCs/>
                <w:sz w:val="20"/>
                <w:szCs w:val="20"/>
              </w:rPr>
            </w:pPr>
            <w:r w:rsidRPr="00AF60D8">
              <w:rPr>
                <w:rFonts w:cs="Arial"/>
                <w:b/>
                <w:bCs/>
                <w:sz w:val="20"/>
                <w:szCs w:val="20"/>
              </w:rPr>
              <w:t>本年支出合计</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59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469.87</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469.87</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年初财政拨款结转和结余</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101.22</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年末财政拨款结转和结余</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49.24</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49.24</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一、一般公共预算财政拨款</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29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101.22</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二、政府性基金预算财政拨款</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三、国有资本经营预算财政拨款</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b/>
                <w:bCs/>
                <w:sz w:val="20"/>
                <w:szCs w:val="20"/>
              </w:rPr>
            </w:pPr>
            <w:r w:rsidRPr="00AF60D8">
              <w:rPr>
                <w:rFonts w:cs="Arial"/>
                <w:b/>
                <w:bCs/>
                <w:sz w:val="20"/>
                <w:szCs w:val="20"/>
              </w:rPr>
              <w:t>总计</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32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519.11</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b/>
                <w:bCs/>
                <w:sz w:val="20"/>
                <w:szCs w:val="20"/>
              </w:rPr>
            </w:pPr>
            <w:r w:rsidRPr="00AF60D8">
              <w:rPr>
                <w:rFonts w:cs="Arial"/>
                <w:b/>
                <w:bCs/>
                <w:sz w:val="20"/>
                <w:szCs w:val="20"/>
              </w:rPr>
              <w:t>总计</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64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519.11</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519.11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2217" w:type="dxa"/>
            <w:gridSpan w:val="8"/>
            <w:tcBorders>
              <w:top w:val="single" w:sz="4" w:space="0" w:color="auto"/>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注：本表反映本年度一般公共预算财政拨款、政府性基金预算财政拨款和国有资本经营预算财政拨款的总收支和年末结转结余情况。</w:t>
            </w:r>
          </w:p>
        </w:tc>
        <w:tc>
          <w:tcPr>
            <w:tcW w:w="2023" w:type="dxa"/>
            <w:tcBorders>
              <w:top w:val="single" w:sz="4" w:space="0" w:color="auto"/>
              <w:left w:val="nil"/>
              <w:bottom w:val="nil"/>
              <w:right w:val="nil"/>
            </w:tcBorders>
            <w:shd w:val="clear" w:color="auto" w:fill="auto"/>
            <w:noWrap/>
            <w:vAlign w:val="center"/>
            <w:hideMark/>
          </w:tcPr>
          <w:p w:rsidR="00AF60D8" w:rsidRPr="00AF60D8" w:rsidRDefault="00AF60D8" w:rsidP="00AF60D8">
            <w:pPr>
              <w:rPr>
                <w:rFonts w:cs="Arial"/>
                <w:sz w:val="20"/>
                <w:szCs w:val="20"/>
              </w:rPr>
            </w:pPr>
          </w:p>
        </w:tc>
      </w:tr>
    </w:tbl>
    <w:p w:rsidR="00AF60D8" w:rsidRP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3581" w:type="dxa"/>
        <w:jc w:val="center"/>
        <w:tblInd w:w="93" w:type="dxa"/>
        <w:tblLook w:val="04A0" w:firstRow="1" w:lastRow="0" w:firstColumn="1" w:lastColumn="0" w:noHBand="0" w:noVBand="1"/>
      </w:tblPr>
      <w:tblGrid>
        <w:gridCol w:w="416"/>
        <w:gridCol w:w="416"/>
        <w:gridCol w:w="416"/>
        <w:gridCol w:w="4974"/>
        <w:gridCol w:w="2211"/>
        <w:gridCol w:w="2371"/>
        <w:gridCol w:w="3023"/>
      </w:tblGrid>
      <w:tr w:rsidR="00AF60D8" w:rsidRPr="00AF60D8" w:rsidTr="00AF60D8">
        <w:trPr>
          <w:trHeight w:val="555"/>
          <w:jc w:val="center"/>
        </w:trPr>
        <w:tc>
          <w:tcPr>
            <w:tcW w:w="13581" w:type="dxa"/>
            <w:gridSpan w:val="7"/>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一般公共预算财政拨款支出决算表</w:t>
            </w:r>
          </w:p>
        </w:tc>
      </w:tr>
      <w:tr w:rsidR="00AF60D8" w:rsidRPr="00AF60D8" w:rsidTr="00AF60D8">
        <w:trPr>
          <w:trHeight w:val="270"/>
          <w:jc w:val="center"/>
        </w:trPr>
        <w:tc>
          <w:tcPr>
            <w:tcW w:w="33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3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3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97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21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37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023"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公开07表</w:t>
            </w:r>
          </w:p>
        </w:tc>
      </w:tr>
      <w:tr w:rsidR="00AF60D8" w:rsidRPr="00AF60D8" w:rsidTr="00AF60D8">
        <w:trPr>
          <w:trHeight w:val="270"/>
          <w:jc w:val="center"/>
        </w:trPr>
        <w:tc>
          <w:tcPr>
            <w:tcW w:w="5976" w:type="dxa"/>
            <w:gridSpan w:val="4"/>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编制单位：浙江省退役军人服务中心</w:t>
            </w:r>
          </w:p>
        </w:tc>
        <w:tc>
          <w:tcPr>
            <w:tcW w:w="221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237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3023" w:type="dxa"/>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00"/>
          <w:jc w:val="center"/>
        </w:trPr>
        <w:tc>
          <w:tcPr>
            <w:tcW w:w="597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项目</w:t>
            </w:r>
          </w:p>
        </w:tc>
        <w:tc>
          <w:tcPr>
            <w:tcW w:w="7605" w:type="dxa"/>
            <w:gridSpan w:val="3"/>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本年支出</w:t>
            </w:r>
          </w:p>
        </w:tc>
      </w:tr>
      <w:tr w:rsidR="00AF60D8" w:rsidRPr="00AF60D8" w:rsidTr="00AF60D8">
        <w:trPr>
          <w:trHeight w:val="312"/>
          <w:jc w:val="center"/>
        </w:trPr>
        <w:tc>
          <w:tcPr>
            <w:tcW w:w="100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支出功能分类科目编码</w:t>
            </w:r>
          </w:p>
        </w:tc>
        <w:tc>
          <w:tcPr>
            <w:tcW w:w="4974"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2211"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小计</w:t>
            </w:r>
          </w:p>
        </w:tc>
        <w:tc>
          <w:tcPr>
            <w:tcW w:w="2371"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基本支出</w:t>
            </w:r>
          </w:p>
        </w:tc>
        <w:tc>
          <w:tcPr>
            <w:tcW w:w="3023"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项目支出</w:t>
            </w:r>
          </w:p>
        </w:tc>
      </w:tr>
      <w:tr w:rsidR="00AF60D8" w:rsidRPr="00AF60D8" w:rsidTr="00AF60D8">
        <w:trPr>
          <w:trHeight w:val="312"/>
          <w:jc w:val="center"/>
        </w:trPr>
        <w:tc>
          <w:tcPr>
            <w:tcW w:w="1002"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97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21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37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2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1002"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97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21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37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2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00"/>
          <w:jc w:val="center"/>
        </w:trPr>
        <w:tc>
          <w:tcPr>
            <w:tcW w:w="3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类</w:t>
            </w:r>
          </w:p>
        </w:tc>
        <w:tc>
          <w:tcPr>
            <w:tcW w:w="334"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款</w:t>
            </w:r>
          </w:p>
        </w:tc>
        <w:tc>
          <w:tcPr>
            <w:tcW w:w="334"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项</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栏次</w:t>
            </w:r>
          </w:p>
        </w:tc>
        <w:tc>
          <w:tcPr>
            <w:tcW w:w="2211"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2371"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3023"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3</w:t>
            </w:r>
          </w:p>
        </w:tc>
      </w:tr>
      <w:tr w:rsidR="00AF60D8" w:rsidRPr="00AF60D8" w:rsidTr="00AF60D8">
        <w:trPr>
          <w:trHeight w:val="300"/>
          <w:jc w:val="center"/>
        </w:trPr>
        <w:tc>
          <w:tcPr>
            <w:tcW w:w="334"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3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3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469.87</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363.83</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社会保障和就业支出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401.39</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295.35</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行政事业单位养老支出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28.01</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28.01</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2080505</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机关事业单位基本养老保险缴费支出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18.67</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18.67</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2080506</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机关事业单位职业年金缴费支出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9.34</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9.34</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退役军人管理事务</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373.39</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267.35</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2082850</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事业运行</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267.35</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267.35</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2082899</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其他退役军人事务管理支出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106.04</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卫生健康支出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21011</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行政事业单位医疗</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2101102</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事业单位医疗</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9.08</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住房保障支出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住房改革支出</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59.39</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2210201</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住房公积金</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26.78</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26.78</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0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2210203</w:t>
            </w:r>
          </w:p>
        </w:tc>
        <w:tc>
          <w:tcPr>
            <w:tcW w:w="497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购房补贴</w:t>
            </w:r>
          </w:p>
        </w:tc>
        <w:tc>
          <w:tcPr>
            <w:tcW w:w="221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32.61</w:t>
            </w:r>
          </w:p>
        </w:tc>
        <w:tc>
          <w:tcPr>
            <w:tcW w:w="237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32.61</w:t>
            </w:r>
          </w:p>
        </w:tc>
        <w:tc>
          <w:tcPr>
            <w:tcW w:w="302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3581" w:type="dxa"/>
            <w:gridSpan w:val="7"/>
            <w:tcBorders>
              <w:top w:val="nil"/>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注：本表反映本年度一般公共预算财政拨款支出情况。</w:t>
            </w: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5460" w:type="dxa"/>
        <w:jc w:val="center"/>
        <w:tblInd w:w="93" w:type="dxa"/>
        <w:tblLook w:val="04A0" w:firstRow="1" w:lastRow="0" w:firstColumn="1" w:lastColumn="0" w:noHBand="0" w:noVBand="1"/>
      </w:tblPr>
      <w:tblGrid>
        <w:gridCol w:w="740"/>
        <w:gridCol w:w="3300"/>
        <w:gridCol w:w="1000"/>
        <w:gridCol w:w="740"/>
        <w:gridCol w:w="2340"/>
        <w:gridCol w:w="1240"/>
        <w:gridCol w:w="740"/>
        <w:gridCol w:w="4040"/>
        <w:gridCol w:w="1320"/>
      </w:tblGrid>
      <w:tr w:rsidR="00AF60D8" w:rsidRPr="00AF60D8" w:rsidTr="00AF60D8">
        <w:trPr>
          <w:trHeight w:val="375"/>
          <w:jc w:val="center"/>
        </w:trPr>
        <w:tc>
          <w:tcPr>
            <w:tcW w:w="15460" w:type="dxa"/>
            <w:gridSpan w:val="9"/>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一般公共预算财政拨款基本支出决算表</w:t>
            </w:r>
          </w:p>
        </w:tc>
      </w:tr>
      <w:tr w:rsidR="00AF60D8" w:rsidRPr="00AF60D8" w:rsidTr="00AF60D8">
        <w:trPr>
          <w:trHeight w:val="225"/>
          <w:jc w:val="center"/>
        </w:trPr>
        <w:tc>
          <w:tcPr>
            <w:tcW w:w="7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3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00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7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3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2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7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04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320"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18"/>
                <w:szCs w:val="18"/>
              </w:rPr>
            </w:pPr>
            <w:r w:rsidRPr="00AF60D8">
              <w:rPr>
                <w:rFonts w:cs="Arial"/>
                <w:sz w:val="18"/>
                <w:szCs w:val="18"/>
              </w:rPr>
              <w:t>公开08表</w:t>
            </w:r>
          </w:p>
        </w:tc>
      </w:tr>
      <w:tr w:rsidR="00BD7B07" w:rsidRPr="00AF60D8" w:rsidTr="00BD7B07">
        <w:trPr>
          <w:trHeight w:val="225"/>
          <w:jc w:val="center"/>
        </w:trPr>
        <w:tc>
          <w:tcPr>
            <w:tcW w:w="4040" w:type="dxa"/>
            <w:gridSpan w:val="2"/>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sz w:val="20"/>
                <w:szCs w:val="20"/>
              </w:rPr>
            </w:pPr>
            <w:r w:rsidRPr="00AF60D8">
              <w:rPr>
                <w:rFonts w:cs="Arial"/>
                <w:sz w:val="20"/>
                <w:szCs w:val="20"/>
              </w:rPr>
              <w:t>部门：浙江省退役军人服务中心</w:t>
            </w:r>
          </w:p>
        </w:tc>
        <w:tc>
          <w:tcPr>
            <w:tcW w:w="1000" w:type="dxa"/>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sz w:val="18"/>
                <w:szCs w:val="18"/>
              </w:rPr>
            </w:pPr>
            <w:r w:rsidRPr="00AF60D8">
              <w:rPr>
                <w:rFonts w:cs="Arial"/>
                <w:sz w:val="18"/>
                <w:szCs w:val="18"/>
              </w:rPr>
              <w:t xml:space="preserve">　</w:t>
            </w:r>
          </w:p>
        </w:tc>
        <w:tc>
          <w:tcPr>
            <w:tcW w:w="740" w:type="dxa"/>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sz w:val="18"/>
                <w:szCs w:val="18"/>
              </w:rPr>
            </w:pPr>
            <w:r w:rsidRPr="00AF60D8">
              <w:rPr>
                <w:rFonts w:cs="Arial"/>
                <w:sz w:val="18"/>
                <w:szCs w:val="18"/>
              </w:rPr>
              <w:t xml:space="preserve">　</w:t>
            </w:r>
          </w:p>
        </w:tc>
        <w:tc>
          <w:tcPr>
            <w:tcW w:w="2340" w:type="dxa"/>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sz w:val="18"/>
                <w:szCs w:val="18"/>
              </w:rPr>
            </w:pPr>
            <w:r w:rsidRPr="00AF60D8">
              <w:rPr>
                <w:rFonts w:cs="Arial"/>
                <w:sz w:val="18"/>
                <w:szCs w:val="18"/>
              </w:rPr>
              <w:t xml:space="preserve">　</w:t>
            </w:r>
          </w:p>
        </w:tc>
        <w:tc>
          <w:tcPr>
            <w:tcW w:w="1240" w:type="dxa"/>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sz w:val="18"/>
                <w:szCs w:val="18"/>
              </w:rPr>
            </w:pPr>
            <w:r w:rsidRPr="00AF60D8">
              <w:rPr>
                <w:rFonts w:cs="Arial"/>
                <w:sz w:val="18"/>
                <w:szCs w:val="18"/>
              </w:rPr>
              <w:t xml:space="preserve">　</w:t>
            </w:r>
          </w:p>
        </w:tc>
        <w:tc>
          <w:tcPr>
            <w:tcW w:w="740" w:type="dxa"/>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sz w:val="18"/>
                <w:szCs w:val="18"/>
              </w:rPr>
            </w:pPr>
            <w:r w:rsidRPr="00AF60D8">
              <w:rPr>
                <w:rFonts w:cs="Arial"/>
                <w:sz w:val="18"/>
                <w:szCs w:val="18"/>
              </w:rPr>
              <w:t xml:space="preserve">　</w:t>
            </w:r>
          </w:p>
        </w:tc>
        <w:tc>
          <w:tcPr>
            <w:tcW w:w="5360" w:type="dxa"/>
            <w:gridSpan w:val="2"/>
            <w:tcBorders>
              <w:top w:val="nil"/>
              <w:left w:val="nil"/>
              <w:bottom w:val="single" w:sz="4" w:space="0" w:color="808080"/>
              <w:right w:val="nil"/>
            </w:tcBorders>
            <w:shd w:val="clear" w:color="auto" w:fill="auto"/>
            <w:noWrap/>
            <w:vAlign w:val="center"/>
            <w:hideMark/>
          </w:tcPr>
          <w:p w:rsidR="00BD7B07" w:rsidRPr="00AF60D8" w:rsidRDefault="00BD7B07" w:rsidP="00AF60D8">
            <w:pPr>
              <w:rPr>
                <w:rFonts w:cs="Arial" w:hint="default"/>
                <w:sz w:val="18"/>
                <w:szCs w:val="18"/>
              </w:rPr>
            </w:pPr>
            <w:r w:rsidRPr="00AF60D8">
              <w:rPr>
                <w:rFonts w:cs="Arial"/>
                <w:sz w:val="18"/>
                <w:szCs w:val="18"/>
              </w:rPr>
              <w:t xml:space="preserve">　</w:t>
            </w:r>
          </w:p>
          <w:p w:rsidR="00BD7B07" w:rsidRPr="00AF60D8" w:rsidRDefault="00BD7B07" w:rsidP="00AF60D8">
            <w:pPr>
              <w:jc w:val="right"/>
              <w:rPr>
                <w:rFonts w:cs="Arial"/>
                <w:sz w:val="18"/>
                <w:szCs w:val="18"/>
              </w:rPr>
            </w:pPr>
            <w:r w:rsidRPr="00AF60D8">
              <w:rPr>
                <w:rFonts w:cs="Arial"/>
                <w:sz w:val="18"/>
                <w:szCs w:val="18"/>
              </w:rPr>
              <w:t>金额单位：万元</w:t>
            </w:r>
          </w:p>
        </w:tc>
      </w:tr>
      <w:tr w:rsidR="00AF60D8" w:rsidRPr="00AF60D8" w:rsidTr="00AF60D8">
        <w:trPr>
          <w:trHeight w:val="300"/>
          <w:jc w:val="center"/>
        </w:trPr>
        <w:tc>
          <w:tcPr>
            <w:tcW w:w="50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人员经费</w:t>
            </w:r>
          </w:p>
        </w:tc>
        <w:tc>
          <w:tcPr>
            <w:tcW w:w="10420" w:type="dxa"/>
            <w:gridSpan w:val="6"/>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公用经费</w:t>
            </w:r>
          </w:p>
        </w:tc>
      </w:tr>
      <w:tr w:rsidR="00AF60D8" w:rsidRPr="00AF60D8" w:rsidTr="00AF60D8">
        <w:trPr>
          <w:trHeight w:val="312"/>
          <w:jc w:val="center"/>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科目编码</w:t>
            </w:r>
          </w:p>
        </w:tc>
        <w:tc>
          <w:tcPr>
            <w:tcW w:w="330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100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决算数</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科目编码</w:t>
            </w:r>
          </w:p>
        </w:tc>
        <w:tc>
          <w:tcPr>
            <w:tcW w:w="234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124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决算数</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科目编码</w:t>
            </w:r>
          </w:p>
        </w:tc>
        <w:tc>
          <w:tcPr>
            <w:tcW w:w="404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1320"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决算数</w:t>
            </w:r>
          </w:p>
        </w:tc>
      </w:tr>
      <w:tr w:rsidR="00AF60D8" w:rsidRPr="00AF60D8" w:rsidTr="00AF60D8">
        <w:trPr>
          <w:trHeight w:val="312"/>
          <w:jc w:val="center"/>
        </w:trPr>
        <w:tc>
          <w:tcPr>
            <w:tcW w:w="740"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3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00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7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3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2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7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04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32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bookmarkStart w:id="19" w:name="_GoBack"/>
        <w:bookmarkEnd w:id="19"/>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工资福利支出</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280.29</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商品和服务支出</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80.42</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30703</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国内债务发行费用</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30101</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基本工资</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48.75</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30201</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办公费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20.28</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30704</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国外债务发行费用</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30102</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津贴补贴</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32.61</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30202</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印刷费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3.48</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资本性支出</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2.91</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30103</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奖金</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30203</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咨询费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31001</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房屋建筑物购建</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30106</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伙食补助费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30204</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手续费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31002</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办公设备购置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2.91</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30107</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绩效工资</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69.83</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30205</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水费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0.38</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31003</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专用设备购置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30108</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机关事业单位基本养老保险缴费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18.67</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30206</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电费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5.17</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31005</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基础设施建设</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30109</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职业年金缴费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9.34</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30207</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邮电费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1.84</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31006</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大型修缮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30110</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职工基本医疗保险缴费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7.64</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30208</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取暖费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31007</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信息网络及软件购置更新</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30111</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公务员医疗补助缴费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1.44</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30209</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物业管理费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31008</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物资储备</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30112</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其他社会保障缴费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0.97</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30211</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差旅费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13.13</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31009</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土地补偿</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30113</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住房公积金</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26.78</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30212</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因公出国（境）费用</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31010</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安置补助</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30114</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医疗费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1.59</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30213</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维修（护）费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0.51</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31011</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地上附着物和青苗补偿</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30199</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其他工资福利支出</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62.68</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30214</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租赁费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31012</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拆迁补偿</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对个人和家庭的补助</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0.21</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30215</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会议费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5.70</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31013</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公务用车购置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30301</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离休费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30216</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培训费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0.92</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31019</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其他交通工具购置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30302</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退休费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30217</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公务接待费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1.43</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31021</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文物和陈列品购置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30303</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退职（役）费</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30218</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专用材料费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31022</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无形资产购置</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30304</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抚恤金</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30224</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被装购置费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31099</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其他资本性支出</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30305</w:t>
            </w:r>
          </w:p>
        </w:tc>
        <w:tc>
          <w:tcPr>
            <w:tcW w:w="33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生活补助</w:t>
            </w:r>
          </w:p>
        </w:tc>
        <w:tc>
          <w:tcPr>
            <w:tcW w:w="100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30225</w:t>
            </w:r>
          </w:p>
        </w:tc>
        <w:tc>
          <w:tcPr>
            <w:tcW w:w="23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专用燃料费</w:t>
            </w:r>
          </w:p>
        </w:tc>
        <w:tc>
          <w:tcPr>
            <w:tcW w:w="12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312</w:t>
            </w:r>
          </w:p>
        </w:tc>
        <w:tc>
          <w:tcPr>
            <w:tcW w:w="404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对企业补助</w:t>
            </w:r>
          </w:p>
        </w:tc>
        <w:tc>
          <w:tcPr>
            <w:tcW w:w="132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nil"/>
              <w:left w:val="single" w:sz="4" w:space="0" w:color="000000"/>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30306</w:t>
            </w:r>
          </w:p>
        </w:tc>
        <w:tc>
          <w:tcPr>
            <w:tcW w:w="330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救济费</w:t>
            </w:r>
          </w:p>
        </w:tc>
        <w:tc>
          <w:tcPr>
            <w:tcW w:w="100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30226</w:t>
            </w:r>
          </w:p>
        </w:tc>
        <w:tc>
          <w:tcPr>
            <w:tcW w:w="234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劳务费</w:t>
            </w:r>
          </w:p>
        </w:tc>
        <w:tc>
          <w:tcPr>
            <w:tcW w:w="124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0.16</w:t>
            </w:r>
          </w:p>
        </w:tc>
        <w:tc>
          <w:tcPr>
            <w:tcW w:w="74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31201</w:t>
            </w:r>
          </w:p>
        </w:tc>
        <w:tc>
          <w:tcPr>
            <w:tcW w:w="404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资本金注入</w:t>
            </w:r>
          </w:p>
        </w:tc>
        <w:tc>
          <w:tcPr>
            <w:tcW w:w="1320"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lastRenderedPageBreak/>
              <w:t>30307</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医疗费补助</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30227</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委托业务费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31203</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政府投资基金股权投资</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30308</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助学金</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30228</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工会经费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3.64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31204</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费用补贴</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30309</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奖励金</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0.02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30229</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福利费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9.11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31205</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利息补贴</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30310</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个人农业生产补贴</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30231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公务用车运行维护费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3.98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31299</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其他对企业补助</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30311</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代缴社会保险费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30239</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其他交通费用</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399</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其他支出</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30399</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其他对个人和家庭的补助</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0.19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30240</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税金及附加费用</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39906</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赠与</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30299</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其他商品和服务支出</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10.70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39907</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国家赔偿费用支出</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307</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债务利息及费用支出</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39908</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对民间非营利组织和群众性自治组织补贴</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30701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国内债务付息</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39999</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其他支出</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30702</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国外债务付息</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4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人员经费合计</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280.50</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公用经费合计</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83.32</w:t>
            </w:r>
          </w:p>
        </w:tc>
      </w:tr>
      <w:tr w:rsidR="00AF60D8" w:rsidRPr="00AF60D8" w:rsidTr="00AF60D8">
        <w:trPr>
          <w:trHeight w:val="300"/>
          <w:jc w:val="center"/>
        </w:trPr>
        <w:tc>
          <w:tcPr>
            <w:tcW w:w="15460" w:type="dxa"/>
            <w:gridSpan w:val="9"/>
            <w:tcBorders>
              <w:top w:val="single" w:sz="4" w:space="0" w:color="auto"/>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注：本表反映本年度一般公共预算财政拨款基本支出明细情况。</w:t>
            </w: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3280" w:type="dxa"/>
        <w:tblInd w:w="93" w:type="dxa"/>
        <w:tblLook w:val="04A0" w:firstRow="1" w:lastRow="0" w:firstColumn="1" w:lastColumn="0" w:noHBand="0" w:noVBand="1"/>
      </w:tblPr>
      <w:tblGrid>
        <w:gridCol w:w="8810"/>
        <w:gridCol w:w="1280"/>
        <w:gridCol w:w="3190"/>
      </w:tblGrid>
      <w:tr w:rsidR="00AF60D8" w:rsidRPr="00AF60D8" w:rsidTr="00AF60D8">
        <w:trPr>
          <w:trHeight w:val="555"/>
        </w:trPr>
        <w:tc>
          <w:tcPr>
            <w:tcW w:w="13280" w:type="dxa"/>
            <w:gridSpan w:val="3"/>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一般公共预算财政拨款“三公”经费支出决算表</w:t>
            </w:r>
          </w:p>
        </w:tc>
      </w:tr>
      <w:tr w:rsidR="00AF60D8" w:rsidRPr="00AF60D8" w:rsidTr="00AF60D8">
        <w:trPr>
          <w:trHeight w:val="270"/>
        </w:trPr>
        <w:tc>
          <w:tcPr>
            <w:tcW w:w="881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28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190"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公开09表</w:t>
            </w:r>
          </w:p>
        </w:tc>
      </w:tr>
      <w:tr w:rsidR="00AF60D8" w:rsidRPr="00AF60D8" w:rsidTr="00AF60D8">
        <w:trPr>
          <w:trHeight w:val="270"/>
        </w:trPr>
        <w:tc>
          <w:tcPr>
            <w:tcW w:w="8810"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编制单位：浙江省退役军人服务中心</w:t>
            </w:r>
          </w:p>
        </w:tc>
        <w:tc>
          <w:tcPr>
            <w:tcW w:w="1280"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3190" w:type="dxa"/>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项  目</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预算数</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决算数</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“三公”经费支出</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5.43</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5.41</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 xml:space="preserve">  1．因公出国（境）费</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 xml:space="preserve">  2．公务用车购置及运行维护费</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4.00</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3.98</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 xml:space="preserve">    （1）公务用车购置费</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 xml:space="preserve">    （2）公务用车运行维护费</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4.00</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3.98</w:t>
            </w:r>
          </w:p>
        </w:tc>
      </w:tr>
      <w:tr w:rsidR="00AF60D8" w:rsidRPr="00AF60D8" w:rsidTr="00AF60D8">
        <w:trPr>
          <w:trHeight w:val="300"/>
        </w:trPr>
        <w:tc>
          <w:tcPr>
            <w:tcW w:w="8810" w:type="dxa"/>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 xml:space="preserve">  3．公务接待费</w:t>
            </w:r>
          </w:p>
        </w:tc>
        <w:tc>
          <w:tcPr>
            <w:tcW w:w="128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1.43</w:t>
            </w:r>
          </w:p>
        </w:tc>
        <w:tc>
          <w:tcPr>
            <w:tcW w:w="3190"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1.43</w:t>
            </w:r>
          </w:p>
        </w:tc>
      </w:tr>
      <w:tr w:rsidR="00AF60D8" w:rsidRPr="00AF60D8" w:rsidTr="00AF60D8">
        <w:trPr>
          <w:trHeight w:val="1005"/>
        </w:trPr>
        <w:tc>
          <w:tcPr>
            <w:tcW w:w="13280" w:type="dxa"/>
            <w:gridSpan w:val="3"/>
            <w:tcBorders>
              <w:top w:val="nil"/>
              <w:left w:val="nil"/>
              <w:bottom w:val="nil"/>
              <w:right w:val="nil"/>
            </w:tcBorders>
            <w:shd w:val="clear" w:color="auto" w:fill="auto"/>
            <w:vAlign w:val="center"/>
            <w:hideMark/>
          </w:tcPr>
          <w:p w:rsidR="00AF60D8" w:rsidRPr="00AF60D8" w:rsidRDefault="00AF60D8" w:rsidP="00AF60D8">
            <w:pPr>
              <w:rPr>
                <w:rFonts w:cs="Arial"/>
                <w:sz w:val="20"/>
                <w:szCs w:val="20"/>
              </w:rPr>
            </w:pPr>
            <w:r w:rsidRPr="00AF60D8">
              <w:rPr>
                <w:rFonts w:cs="Arial"/>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w:t>
            </w: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5006" w:type="dxa"/>
        <w:jc w:val="center"/>
        <w:tblInd w:w="93" w:type="dxa"/>
        <w:tblLook w:val="04A0" w:firstRow="1" w:lastRow="0" w:firstColumn="1" w:lastColumn="0" w:noHBand="0" w:noVBand="1"/>
      </w:tblPr>
      <w:tblGrid>
        <w:gridCol w:w="538"/>
        <w:gridCol w:w="537"/>
        <w:gridCol w:w="537"/>
        <w:gridCol w:w="1938"/>
        <w:gridCol w:w="1797"/>
        <w:gridCol w:w="2283"/>
        <w:gridCol w:w="1501"/>
        <w:gridCol w:w="1536"/>
        <w:gridCol w:w="1484"/>
        <w:gridCol w:w="2855"/>
      </w:tblGrid>
      <w:tr w:rsidR="00AF60D8" w:rsidRPr="00AF60D8" w:rsidTr="00AF60D8">
        <w:trPr>
          <w:trHeight w:val="555"/>
          <w:jc w:val="center"/>
        </w:trPr>
        <w:tc>
          <w:tcPr>
            <w:tcW w:w="15006" w:type="dxa"/>
            <w:gridSpan w:val="10"/>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政府性基金预算财政拨款收入支出决算表</w:t>
            </w:r>
          </w:p>
        </w:tc>
      </w:tr>
      <w:tr w:rsidR="00AF60D8" w:rsidRPr="00AF60D8" w:rsidTr="00AF60D8">
        <w:trPr>
          <w:trHeight w:val="270"/>
          <w:jc w:val="center"/>
        </w:trPr>
        <w:tc>
          <w:tcPr>
            <w:tcW w:w="538"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537"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537"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938"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797"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283"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50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536"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48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855"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公开10表</w:t>
            </w:r>
          </w:p>
        </w:tc>
      </w:tr>
      <w:tr w:rsidR="00AF60D8" w:rsidRPr="00AF60D8" w:rsidTr="00BD7B07">
        <w:trPr>
          <w:trHeight w:val="270"/>
          <w:jc w:val="center"/>
        </w:trPr>
        <w:tc>
          <w:tcPr>
            <w:tcW w:w="5347" w:type="dxa"/>
            <w:gridSpan w:val="5"/>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hint="default"/>
                <w:sz w:val="22"/>
                <w:szCs w:val="22"/>
              </w:rPr>
            </w:pPr>
            <w:r w:rsidRPr="00AF60D8">
              <w:rPr>
                <w:rFonts w:cs="Arial"/>
                <w:sz w:val="22"/>
                <w:szCs w:val="22"/>
              </w:rPr>
              <w:t>编制单位：浙江省退役军人服务中心</w:t>
            </w:r>
          </w:p>
          <w:p w:rsidR="00AF60D8" w:rsidRPr="00AF60D8" w:rsidRDefault="00AF60D8" w:rsidP="00AF60D8">
            <w:pPr>
              <w:rPr>
                <w:rFonts w:cs="Arial"/>
                <w:sz w:val="18"/>
                <w:szCs w:val="18"/>
              </w:rPr>
            </w:pPr>
            <w:r w:rsidRPr="00AF60D8">
              <w:rPr>
                <w:rFonts w:cs="Arial"/>
                <w:sz w:val="18"/>
                <w:szCs w:val="18"/>
              </w:rPr>
              <w:t xml:space="preserve">　</w:t>
            </w:r>
          </w:p>
        </w:tc>
        <w:tc>
          <w:tcPr>
            <w:tcW w:w="2283"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501"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536"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1484"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2855" w:type="dxa"/>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00"/>
          <w:jc w:val="center"/>
        </w:trPr>
        <w:tc>
          <w:tcPr>
            <w:tcW w:w="355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项目</w:t>
            </w:r>
          </w:p>
        </w:tc>
        <w:tc>
          <w:tcPr>
            <w:tcW w:w="1797"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年初结转和结余</w:t>
            </w:r>
          </w:p>
        </w:tc>
        <w:tc>
          <w:tcPr>
            <w:tcW w:w="2283"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本年收入</w:t>
            </w:r>
          </w:p>
        </w:tc>
        <w:tc>
          <w:tcPr>
            <w:tcW w:w="4521" w:type="dxa"/>
            <w:gridSpan w:val="3"/>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本年支出</w:t>
            </w:r>
          </w:p>
        </w:tc>
        <w:tc>
          <w:tcPr>
            <w:tcW w:w="2855"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年末结转和结余</w:t>
            </w:r>
          </w:p>
        </w:tc>
      </w:tr>
      <w:tr w:rsidR="00AF60D8" w:rsidRPr="00AF60D8" w:rsidTr="00AF60D8">
        <w:trPr>
          <w:trHeight w:val="312"/>
          <w:jc w:val="center"/>
        </w:trPr>
        <w:tc>
          <w:tcPr>
            <w:tcW w:w="161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支出功能分类科目编码</w:t>
            </w:r>
          </w:p>
        </w:tc>
        <w:tc>
          <w:tcPr>
            <w:tcW w:w="1938"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179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28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501"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小计</w:t>
            </w:r>
          </w:p>
        </w:tc>
        <w:tc>
          <w:tcPr>
            <w:tcW w:w="1536"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基本支出</w:t>
            </w:r>
          </w:p>
        </w:tc>
        <w:tc>
          <w:tcPr>
            <w:tcW w:w="1484" w:type="dxa"/>
            <w:vMerge w:val="restart"/>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项目支出</w:t>
            </w:r>
          </w:p>
        </w:tc>
        <w:tc>
          <w:tcPr>
            <w:tcW w:w="285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1612"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93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79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28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50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53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48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85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12"/>
          <w:jc w:val="center"/>
        </w:trPr>
        <w:tc>
          <w:tcPr>
            <w:tcW w:w="1612" w:type="dxa"/>
            <w:gridSpan w:val="3"/>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938"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79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28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501"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536"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48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855"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r>
      <w:tr w:rsidR="00AF60D8" w:rsidRPr="00AF60D8" w:rsidTr="00AF60D8">
        <w:trPr>
          <w:trHeight w:val="300"/>
          <w:jc w:val="center"/>
        </w:trPr>
        <w:tc>
          <w:tcPr>
            <w:tcW w:w="5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类</w:t>
            </w:r>
          </w:p>
        </w:tc>
        <w:tc>
          <w:tcPr>
            <w:tcW w:w="537"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款</w:t>
            </w:r>
          </w:p>
        </w:tc>
        <w:tc>
          <w:tcPr>
            <w:tcW w:w="537"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项</w:t>
            </w:r>
          </w:p>
        </w:tc>
        <w:tc>
          <w:tcPr>
            <w:tcW w:w="193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栏次</w:t>
            </w:r>
          </w:p>
        </w:tc>
        <w:tc>
          <w:tcPr>
            <w:tcW w:w="1797"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2283"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1501"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3</w:t>
            </w:r>
          </w:p>
        </w:tc>
        <w:tc>
          <w:tcPr>
            <w:tcW w:w="1536"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4</w:t>
            </w:r>
          </w:p>
        </w:tc>
        <w:tc>
          <w:tcPr>
            <w:tcW w:w="1484"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5</w:t>
            </w:r>
          </w:p>
        </w:tc>
        <w:tc>
          <w:tcPr>
            <w:tcW w:w="2855"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6</w:t>
            </w:r>
          </w:p>
        </w:tc>
      </w:tr>
      <w:tr w:rsidR="00AF60D8" w:rsidRPr="00AF60D8" w:rsidTr="00AF60D8">
        <w:trPr>
          <w:trHeight w:val="300"/>
          <w:jc w:val="center"/>
        </w:trPr>
        <w:tc>
          <w:tcPr>
            <w:tcW w:w="538" w:type="dxa"/>
            <w:vMerge/>
            <w:tcBorders>
              <w:top w:val="nil"/>
              <w:left w:val="single" w:sz="4" w:space="0" w:color="000000"/>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53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537"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93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179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28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53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48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85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61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938"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28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536"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148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2855"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jc w:val="center"/>
        </w:trPr>
        <w:tc>
          <w:tcPr>
            <w:tcW w:w="15006" w:type="dxa"/>
            <w:gridSpan w:val="10"/>
            <w:tcBorders>
              <w:top w:val="nil"/>
              <w:left w:val="nil"/>
              <w:bottom w:val="nil"/>
              <w:right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注：本表反映本年度政府性基金预算财政拨款收入、支出及结转和结余情况。</w:t>
            </w:r>
          </w:p>
        </w:tc>
      </w:tr>
      <w:tr w:rsidR="00AF60D8" w:rsidRPr="00AF60D8" w:rsidTr="00BD7B07">
        <w:trPr>
          <w:trHeight w:val="255"/>
          <w:jc w:val="center"/>
        </w:trPr>
        <w:tc>
          <w:tcPr>
            <w:tcW w:w="10667" w:type="dxa"/>
            <w:gridSpan w:val="8"/>
            <w:tcBorders>
              <w:top w:val="nil"/>
              <w:left w:val="nil"/>
              <w:bottom w:val="nil"/>
              <w:right w:val="nil"/>
            </w:tcBorders>
            <w:shd w:val="clear" w:color="auto" w:fill="auto"/>
            <w:noWrap/>
            <w:vAlign w:val="bottom"/>
            <w:hideMark/>
          </w:tcPr>
          <w:p w:rsidR="00AF60D8" w:rsidRPr="00AF60D8" w:rsidRDefault="00AF60D8" w:rsidP="00AF60D8">
            <w:pPr>
              <w:rPr>
                <w:rFonts w:ascii="Arial" w:hAnsi="Arial" w:cs="Arial"/>
                <w:sz w:val="20"/>
                <w:szCs w:val="20"/>
              </w:rPr>
            </w:pPr>
            <w:r w:rsidRPr="00AF60D8">
              <w:rPr>
                <w:rFonts w:cs="Arial"/>
                <w:sz w:val="20"/>
                <w:szCs w:val="20"/>
              </w:rPr>
              <w:t>注明：浙江省退役军人服务中心无政府性基金预算财政拨款收支安排，故无相关数据。</w:t>
            </w:r>
          </w:p>
        </w:tc>
        <w:tc>
          <w:tcPr>
            <w:tcW w:w="1484" w:type="dxa"/>
            <w:tcBorders>
              <w:top w:val="nil"/>
              <w:left w:val="nil"/>
              <w:bottom w:val="nil"/>
              <w:right w:val="nil"/>
            </w:tcBorders>
            <w:shd w:val="clear" w:color="auto" w:fill="auto"/>
            <w:noWrap/>
            <w:vAlign w:val="bottom"/>
            <w:hideMark/>
          </w:tcPr>
          <w:p w:rsidR="00AF60D8" w:rsidRPr="00AF60D8" w:rsidRDefault="00AF60D8" w:rsidP="00AF60D8">
            <w:pPr>
              <w:rPr>
                <w:rFonts w:ascii="Arial" w:hAnsi="Arial" w:cs="Arial"/>
                <w:sz w:val="20"/>
                <w:szCs w:val="20"/>
              </w:rPr>
            </w:pPr>
          </w:p>
        </w:tc>
        <w:tc>
          <w:tcPr>
            <w:tcW w:w="2855" w:type="dxa"/>
            <w:tcBorders>
              <w:top w:val="nil"/>
              <w:left w:val="nil"/>
              <w:bottom w:val="nil"/>
              <w:right w:val="nil"/>
            </w:tcBorders>
            <w:shd w:val="clear" w:color="auto" w:fill="auto"/>
            <w:noWrap/>
            <w:vAlign w:val="bottom"/>
            <w:hideMark/>
          </w:tcPr>
          <w:p w:rsidR="00AF60D8" w:rsidRPr="00AF60D8" w:rsidRDefault="00AF60D8" w:rsidP="00AF60D8">
            <w:pPr>
              <w:rPr>
                <w:rFonts w:ascii="Arial" w:hAnsi="Arial" w:cs="Arial"/>
                <w:sz w:val="20"/>
                <w:szCs w:val="20"/>
              </w:rPr>
            </w:pPr>
          </w:p>
        </w:tc>
      </w:tr>
    </w:tbl>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tbl>
      <w:tblPr>
        <w:tblW w:w="13416" w:type="dxa"/>
        <w:tblInd w:w="93" w:type="dxa"/>
        <w:tblLook w:val="04A0" w:firstRow="1" w:lastRow="0" w:firstColumn="1" w:lastColumn="0" w:noHBand="0" w:noVBand="1"/>
      </w:tblPr>
      <w:tblGrid>
        <w:gridCol w:w="471"/>
        <w:gridCol w:w="470"/>
        <w:gridCol w:w="470"/>
        <w:gridCol w:w="1699"/>
        <w:gridCol w:w="2903"/>
        <w:gridCol w:w="3064"/>
        <w:gridCol w:w="4339"/>
      </w:tblGrid>
      <w:tr w:rsidR="00AF60D8" w:rsidRPr="00AF60D8" w:rsidTr="00AF60D8">
        <w:trPr>
          <w:trHeight w:val="375"/>
        </w:trPr>
        <w:tc>
          <w:tcPr>
            <w:tcW w:w="13416" w:type="dxa"/>
            <w:gridSpan w:val="7"/>
            <w:tcBorders>
              <w:top w:val="nil"/>
              <w:left w:val="nil"/>
              <w:bottom w:val="nil"/>
              <w:right w:val="nil"/>
            </w:tcBorders>
            <w:shd w:val="clear" w:color="auto" w:fill="auto"/>
            <w:noWrap/>
            <w:vAlign w:val="center"/>
            <w:hideMark/>
          </w:tcPr>
          <w:p w:rsidR="00AF60D8" w:rsidRPr="00AF60D8" w:rsidRDefault="00AF60D8" w:rsidP="00AF60D8">
            <w:pPr>
              <w:jc w:val="center"/>
              <w:rPr>
                <w:rFonts w:ascii="黑体" w:eastAsia="黑体" w:hAnsi="黑体" w:cs="Arial"/>
                <w:sz w:val="30"/>
                <w:szCs w:val="30"/>
              </w:rPr>
            </w:pPr>
            <w:r w:rsidRPr="00AF60D8">
              <w:rPr>
                <w:rFonts w:ascii="黑体" w:eastAsia="黑体" w:hAnsi="黑体" w:cs="Arial"/>
                <w:sz w:val="30"/>
                <w:szCs w:val="30"/>
              </w:rPr>
              <w:lastRenderedPageBreak/>
              <w:t>国有资本经营预算财政拨款支出决算表</w:t>
            </w:r>
          </w:p>
        </w:tc>
      </w:tr>
      <w:tr w:rsidR="00AF60D8" w:rsidRPr="00AF60D8" w:rsidTr="00AF60D8">
        <w:trPr>
          <w:trHeight w:val="270"/>
        </w:trPr>
        <w:tc>
          <w:tcPr>
            <w:tcW w:w="471"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7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70"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1699"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2903"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3064" w:type="dxa"/>
            <w:tcBorders>
              <w:top w:val="nil"/>
              <w:left w:val="nil"/>
              <w:bottom w:val="nil"/>
              <w:right w:val="nil"/>
            </w:tcBorders>
            <w:shd w:val="clear" w:color="auto" w:fill="auto"/>
            <w:noWrap/>
            <w:vAlign w:val="center"/>
            <w:hideMark/>
          </w:tcPr>
          <w:p w:rsidR="00AF60D8" w:rsidRPr="00AF60D8" w:rsidRDefault="00AF60D8" w:rsidP="00AF60D8">
            <w:pPr>
              <w:rPr>
                <w:rFonts w:cs="Arial"/>
                <w:sz w:val="18"/>
                <w:szCs w:val="18"/>
              </w:rPr>
            </w:pPr>
          </w:p>
        </w:tc>
        <w:tc>
          <w:tcPr>
            <w:tcW w:w="4339" w:type="dxa"/>
            <w:tcBorders>
              <w:top w:val="nil"/>
              <w:left w:val="nil"/>
              <w:bottom w:val="nil"/>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公开11表</w:t>
            </w:r>
          </w:p>
        </w:tc>
      </w:tr>
      <w:tr w:rsidR="00AF60D8" w:rsidRPr="00AF60D8" w:rsidTr="00AF60D8">
        <w:trPr>
          <w:trHeight w:val="270"/>
        </w:trPr>
        <w:tc>
          <w:tcPr>
            <w:tcW w:w="3110" w:type="dxa"/>
            <w:gridSpan w:val="4"/>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22"/>
                <w:szCs w:val="22"/>
              </w:rPr>
            </w:pPr>
            <w:r w:rsidRPr="00AF60D8">
              <w:rPr>
                <w:rFonts w:cs="Arial"/>
                <w:sz w:val="22"/>
                <w:szCs w:val="22"/>
              </w:rPr>
              <w:t>部门：浙江省退役军人服务中心</w:t>
            </w:r>
          </w:p>
        </w:tc>
        <w:tc>
          <w:tcPr>
            <w:tcW w:w="2903"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3064" w:type="dxa"/>
            <w:tcBorders>
              <w:top w:val="nil"/>
              <w:left w:val="nil"/>
              <w:bottom w:val="single" w:sz="4" w:space="0" w:color="808080"/>
              <w:right w:val="nil"/>
            </w:tcBorders>
            <w:shd w:val="clear" w:color="auto" w:fill="auto"/>
            <w:noWrap/>
            <w:vAlign w:val="center"/>
            <w:hideMark/>
          </w:tcPr>
          <w:p w:rsidR="00AF60D8" w:rsidRPr="00AF60D8" w:rsidRDefault="00AF60D8" w:rsidP="00AF60D8">
            <w:pPr>
              <w:rPr>
                <w:rFonts w:cs="Arial"/>
                <w:sz w:val="18"/>
                <w:szCs w:val="18"/>
              </w:rPr>
            </w:pPr>
            <w:r w:rsidRPr="00AF60D8">
              <w:rPr>
                <w:rFonts w:cs="Arial"/>
                <w:sz w:val="18"/>
                <w:szCs w:val="18"/>
              </w:rPr>
              <w:t xml:space="preserve">　</w:t>
            </w:r>
          </w:p>
        </w:tc>
        <w:tc>
          <w:tcPr>
            <w:tcW w:w="4339" w:type="dxa"/>
            <w:tcBorders>
              <w:top w:val="nil"/>
              <w:left w:val="nil"/>
              <w:bottom w:val="single" w:sz="4" w:space="0" w:color="808080"/>
              <w:right w:val="nil"/>
            </w:tcBorders>
            <w:shd w:val="clear" w:color="auto" w:fill="auto"/>
            <w:noWrap/>
            <w:vAlign w:val="center"/>
            <w:hideMark/>
          </w:tcPr>
          <w:p w:rsidR="00AF60D8" w:rsidRPr="00AF60D8" w:rsidRDefault="00AF60D8" w:rsidP="00AF60D8">
            <w:pPr>
              <w:jc w:val="right"/>
              <w:rPr>
                <w:rFonts w:cs="Arial"/>
                <w:sz w:val="22"/>
                <w:szCs w:val="22"/>
              </w:rPr>
            </w:pPr>
            <w:r w:rsidRPr="00AF60D8">
              <w:rPr>
                <w:rFonts w:cs="Arial"/>
                <w:sz w:val="22"/>
                <w:szCs w:val="22"/>
              </w:rPr>
              <w:t>金额单位：万元</w:t>
            </w:r>
          </w:p>
        </w:tc>
      </w:tr>
      <w:tr w:rsidR="00AF60D8" w:rsidRPr="00AF60D8" w:rsidTr="00AF60D8">
        <w:trPr>
          <w:trHeight w:val="300"/>
        </w:trPr>
        <w:tc>
          <w:tcPr>
            <w:tcW w:w="3110" w:type="dxa"/>
            <w:gridSpan w:val="4"/>
            <w:tcBorders>
              <w:top w:val="nil"/>
              <w:left w:val="single" w:sz="4" w:space="0" w:color="000000"/>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项目</w:t>
            </w:r>
          </w:p>
        </w:tc>
        <w:tc>
          <w:tcPr>
            <w:tcW w:w="10306" w:type="dxa"/>
            <w:gridSpan w:val="3"/>
            <w:tcBorders>
              <w:top w:val="nil"/>
              <w:left w:val="nil"/>
              <w:bottom w:val="single" w:sz="4" w:space="0" w:color="auto"/>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本年支出</w:t>
            </w:r>
          </w:p>
        </w:tc>
      </w:tr>
      <w:tr w:rsidR="00AF60D8" w:rsidRPr="00AF60D8" w:rsidTr="00AF60D8">
        <w:trPr>
          <w:trHeight w:val="312"/>
        </w:trPr>
        <w:tc>
          <w:tcPr>
            <w:tcW w:w="14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支出功能分类科目编码</w:t>
            </w:r>
          </w:p>
        </w:tc>
        <w:tc>
          <w:tcPr>
            <w:tcW w:w="1699"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科目名称</w:t>
            </w:r>
          </w:p>
        </w:tc>
        <w:tc>
          <w:tcPr>
            <w:tcW w:w="2903" w:type="dxa"/>
            <w:vMerge w:val="restart"/>
            <w:tcBorders>
              <w:top w:val="single" w:sz="4" w:space="0" w:color="auto"/>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小计</w:t>
            </w:r>
          </w:p>
        </w:tc>
        <w:tc>
          <w:tcPr>
            <w:tcW w:w="3064" w:type="dxa"/>
            <w:vMerge w:val="restart"/>
            <w:tcBorders>
              <w:top w:val="single" w:sz="4" w:space="0" w:color="auto"/>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基本支出</w:t>
            </w:r>
          </w:p>
        </w:tc>
        <w:tc>
          <w:tcPr>
            <w:tcW w:w="4339" w:type="dxa"/>
            <w:vMerge w:val="restart"/>
            <w:tcBorders>
              <w:top w:val="single" w:sz="4" w:space="0" w:color="auto"/>
              <w:left w:val="nil"/>
              <w:bottom w:val="single" w:sz="4" w:space="0" w:color="000000"/>
              <w:right w:val="single" w:sz="4" w:space="0" w:color="auto"/>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项目支出</w:t>
            </w:r>
          </w:p>
        </w:tc>
      </w:tr>
      <w:tr w:rsidR="00AF60D8" w:rsidRPr="00AF60D8" w:rsidTr="00AF60D8">
        <w:trPr>
          <w:trHeight w:val="312"/>
        </w:trPr>
        <w:tc>
          <w:tcPr>
            <w:tcW w:w="1411" w:type="dxa"/>
            <w:gridSpan w:val="3"/>
            <w:vMerge/>
            <w:tcBorders>
              <w:top w:val="nil"/>
              <w:left w:val="single" w:sz="4" w:space="0" w:color="auto"/>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99"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90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6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339" w:type="dxa"/>
            <w:vMerge/>
            <w:tcBorders>
              <w:top w:val="nil"/>
              <w:left w:val="nil"/>
              <w:bottom w:val="single" w:sz="4" w:space="0" w:color="000000"/>
              <w:right w:val="single" w:sz="4" w:space="0" w:color="auto"/>
            </w:tcBorders>
            <w:vAlign w:val="center"/>
            <w:hideMark/>
          </w:tcPr>
          <w:p w:rsidR="00AF60D8" w:rsidRPr="00AF60D8" w:rsidRDefault="00AF60D8" w:rsidP="00AF60D8">
            <w:pPr>
              <w:rPr>
                <w:rFonts w:cs="Arial"/>
                <w:sz w:val="20"/>
                <w:szCs w:val="20"/>
              </w:rPr>
            </w:pPr>
          </w:p>
        </w:tc>
      </w:tr>
      <w:tr w:rsidR="00AF60D8" w:rsidRPr="00AF60D8" w:rsidTr="00AF60D8">
        <w:trPr>
          <w:trHeight w:val="312"/>
        </w:trPr>
        <w:tc>
          <w:tcPr>
            <w:tcW w:w="1411" w:type="dxa"/>
            <w:gridSpan w:val="3"/>
            <w:vMerge/>
            <w:tcBorders>
              <w:top w:val="nil"/>
              <w:left w:val="single" w:sz="4" w:space="0" w:color="auto"/>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99"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2903"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3064"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339" w:type="dxa"/>
            <w:vMerge/>
            <w:tcBorders>
              <w:top w:val="nil"/>
              <w:left w:val="nil"/>
              <w:bottom w:val="single" w:sz="4" w:space="0" w:color="000000"/>
              <w:right w:val="single" w:sz="4" w:space="0" w:color="auto"/>
            </w:tcBorders>
            <w:vAlign w:val="center"/>
            <w:hideMark/>
          </w:tcPr>
          <w:p w:rsidR="00AF60D8" w:rsidRPr="00AF60D8" w:rsidRDefault="00AF60D8" w:rsidP="00AF60D8">
            <w:pPr>
              <w:rPr>
                <w:rFonts w:cs="Arial"/>
                <w:sz w:val="20"/>
                <w:szCs w:val="20"/>
              </w:rPr>
            </w:pPr>
          </w:p>
        </w:tc>
      </w:tr>
      <w:tr w:rsidR="00AF60D8" w:rsidRPr="00AF60D8" w:rsidTr="00AF60D8">
        <w:trPr>
          <w:trHeight w:val="300"/>
        </w:trPr>
        <w:tc>
          <w:tcPr>
            <w:tcW w:w="47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类</w:t>
            </w:r>
          </w:p>
        </w:tc>
        <w:tc>
          <w:tcPr>
            <w:tcW w:w="470"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款</w:t>
            </w:r>
          </w:p>
        </w:tc>
        <w:tc>
          <w:tcPr>
            <w:tcW w:w="470" w:type="dxa"/>
            <w:vMerge w:val="restart"/>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项</w:t>
            </w:r>
          </w:p>
        </w:tc>
        <w:tc>
          <w:tcPr>
            <w:tcW w:w="1699"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栏次</w:t>
            </w:r>
          </w:p>
        </w:tc>
        <w:tc>
          <w:tcPr>
            <w:tcW w:w="2903"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1</w:t>
            </w:r>
          </w:p>
        </w:tc>
        <w:tc>
          <w:tcPr>
            <w:tcW w:w="3064" w:type="dxa"/>
            <w:tcBorders>
              <w:top w:val="nil"/>
              <w:left w:val="nil"/>
              <w:bottom w:val="single" w:sz="4" w:space="0" w:color="000000"/>
              <w:right w:val="single" w:sz="4" w:space="0" w:color="000000"/>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2</w:t>
            </w:r>
          </w:p>
        </w:tc>
        <w:tc>
          <w:tcPr>
            <w:tcW w:w="4339" w:type="dxa"/>
            <w:tcBorders>
              <w:top w:val="nil"/>
              <w:left w:val="nil"/>
              <w:bottom w:val="single" w:sz="4" w:space="0" w:color="000000"/>
              <w:right w:val="single" w:sz="4" w:space="0" w:color="auto"/>
            </w:tcBorders>
            <w:shd w:val="clear" w:color="auto" w:fill="auto"/>
            <w:vAlign w:val="center"/>
            <w:hideMark/>
          </w:tcPr>
          <w:p w:rsidR="00AF60D8" w:rsidRPr="00AF60D8" w:rsidRDefault="00AF60D8" w:rsidP="00AF60D8">
            <w:pPr>
              <w:jc w:val="center"/>
              <w:rPr>
                <w:rFonts w:cs="Arial"/>
                <w:sz w:val="20"/>
                <w:szCs w:val="20"/>
              </w:rPr>
            </w:pPr>
            <w:r w:rsidRPr="00AF60D8">
              <w:rPr>
                <w:rFonts w:cs="Arial"/>
                <w:sz w:val="20"/>
                <w:szCs w:val="20"/>
              </w:rPr>
              <w:t>3</w:t>
            </w:r>
          </w:p>
        </w:tc>
      </w:tr>
      <w:tr w:rsidR="00AF60D8" w:rsidRPr="00AF60D8" w:rsidTr="00AF60D8">
        <w:trPr>
          <w:trHeight w:val="300"/>
        </w:trPr>
        <w:tc>
          <w:tcPr>
            <w:tcW w:w="471" w:type="dxa"/>
            <w:vMerge/>
            <w:tcBorders>
              <w:top w:val="nil"/>
              <w:left w:val="single" w:sz="4" w:space="0" w:color="auto"/>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7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470" w:type="dxa"/>
            <w:vMerge/>
            <w:tcBorders>
              <w:top w:val="nil"/>
              <w:left w:val="nil"/>
              <w:bottom w:val="single" w:sz="4" w:space="0" w:color="000000"/>
              <w:right w:val="single" w:sz="4" w:space="0" w:color="000000"/>
            </w:tcBorders>
            <w:vAlign w:val="center"/>
            <w:hideMark/>
          </w:tcPr>
          <w:p w:rsidR="00AF60D8" w:rsidRPr="00AF60D8" w:rsidRDefault="00AF60D8" w:rsidP="00AF60D8">
            <w:pPr>
              <w:rPr>
                <w:rFonts w:cs="Arial"/>
                <w:sz w:val="20"/>
                <w:szCs w:val="20"/>
              </w:rPr>
            </w:pPr>
          </w:p>
        </w:tc>
        <w:tc>
          <w:tcPr>
            <w:tcW w:w="1699"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center"/>
              <w:rPr>
                <w:rFonts w:cs="Arial"/>
                <w:sz w:val="20"/>
                <w:szCs w:val="20"/>
              </w:rPr>
            </w:pPr>
            <w:r w:rsidRPr="00AF60D8">
              <w:rPr>
                <w:rFonts w:cs="Arial"/>
                <w:sz w:val="20"/>
                <w:szCs w:val="20"/>
              </w:rPr>
              <w:t>合计</w:t>
            </w:r>
          </w:p>
        </w:tc>
        <w:tc>
          <w:tcPr>
            <w:tcW w:w="2903"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064" w:type="dxa"/>
            <w:tcBorders>
              <w:top w:val="nil"/>
              <w:left w:val="nil"/>
              <w:bottom w:val="single" w:sz="4" w:space="0" w:color="000000"/>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4339" w:type="dxa"/>
            <w:tcBorders>
              <w:top w:val="nil"/>
              <w:left w:val="nil"/>
              <w:bottom w:val="single" w:sz="4" w:space="0" w:color="000000"/>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trPr>
        <w:tc>
          <w:tcPr>
            <w:tcW w:w="1411"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1699"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 xml:space="preserve">　</w:t>
            </w:r>
          </w:p>
        </w:tc>
        <w:tc>
          <w:tcPr>
            <w:tcW w:w="2903"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3064" w:type="dxa"/>
            <w:tcBorders>
              <w:top w:val="nil"/>
              <w:left w:val="nil"/>
              <w:bottom w:val="single" w:sz="4" w:space="0" w:color="auto"/>
              <w:right w:val="single" w:sz="4" w:space="0" w:color="000000"/>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c>
          <w:tcPr>
            <w:tcW w:w="4339" w:type="dxa"/>
            <w:tcBorders>
              <w:top w:val="nil"/>
              <w:left w:val="nil"/>
              <w:bottom w:val="single" w:sz="4" w:space="0" w:color="auto"/>
              <w:right w:val="single" w:sz="4" w:space="0" w:color="auto"/>
            </w:tcBorders>
            <w:shd w:val="clear" w:color="auto" w:fill="auto"/>
            <w:noWrap/>
            <w:vAlign w:val="center"/>
            <w:hideMark/>
          </w:tcPr>
          <w:p w:rsidR="00AF60D8" w:rsidRPr="00AF60D8" w:rsidRDefault="00AF60D8" w:rsidP="00AF60D8">
            <w:pPr>
              <w:jc w:val="right"/>
              <w:rPr>
                <w:rFonts w:cs="Arial"/>
                <w:sz w:val="20"/>
                <w:szCs w:val="20"/>
              </w:rPr>
            </w:pPr>
            <w:r w:rsidRPr="00AF60D8">
              <w:rPr>
                <w:rFonts w:cs="Arial"/>
                <w:sz w:val="20"/>
                <w:szCs w:val="20"/>
              </w:rPr>
              <w:t xml:space="preserve">　</w:t>
            </w:r>
          </w:p>
        </w:tc>
      </w:tr>
      <w:tr w:rsidR="00AF60D8" w:rsidRPr="00AF60D8" w:rsidTr="00AF60D8">
        <w:trPr>
          <w:trHeight w:val="300"/>
        </w:trPr>
        <w:tc>
          <w:tcPr>
            <w:tcW w:w="13416" w:type="dxa"/>
            <w:gridSpan w:val="7"/>
            <w:tcBorders>
              <w:top w:val="single" w:sz="4" w:space="0" w:color="auto"/>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注：本表反映本年度国有资本经营预算财政拨款支出情况。</w:t>
            </w:r>
          </w:p>
        </w:tc>
      </w:tr>
      <w:tr w:rsidR="00AF60D8" w:rsidRPr="00AF60D8" w:rsidTr="00AF60D8">
        <w:trPr>
          <w:trHeight w:val="300"/>
        </w:trPr>
        <w:tc>
          <w:tcPr>
            <w:tcW w:w="13416" w:type="dxa"/>
            <w:gridSpan w:val="7"/>
            <w:tcBorders>
              <w:top w:val="nil"/>
            </w:tcBorders>
            <w:shd w:val="clear" w:color="auto" w:fill="auto"/>
            <w:noWrap/>
            <w:vAlign w:val="center"/>
            <w:hideMark/>
          </w:tcPr>
          <w:p w:rsidR="00AF60D8" w:rsidRPr="00AF60D8" w:rsidRDefault="00AF60D8" w:rsidP="00AF60D8">
            <w:pPr>
              <w:rPr>
                <w:rFonts w:cs="Arial"/>
                <w:sz w:val="20"/>
                <w:szCs w:val="20"/>
              </w:rPr>
            </w:pPr>
            <w:r w:rsidRPr="00AF60D8">
              <w:rPr>
                <w:rFonts w:cs="Arial"/>
                <w:sz w:val="20"/>
                <w:szCs w:val="20"/>
              </w:rPr>
              <w:t>注明：浙江省退役军人服务中心无国有资本经营预算财政拨款支出安排，故无相关数据。</w:t>
            </w:r>
          </w:p>
        </w:tc>
      </w:tr>
    </w:tbl>
    <w:p w:rsidR="00AF60D8" w:rsidRP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Pr="00AF60D8" w:rsidRDefault="00AF60D8">
      <w:pPr>
        <w:pStyle w:val="Default"/>
        <w:ind w:firstLine="600"/>
        <w:jc w:val="both"/>
        <w:rPr>
          <w:rFonts w:ascii="Times New Roman" w:hAnsi="Times New Roman"/>
          <w:sz w:val="32"/>
          <w:szCs w:val="32"/>
        </w:rPr>
      </w:pPr>
    </w:p>
    <w:p w:rsidR="00AF60D8" w:rsidRDefault="00AF60D8">
      <w:pPr>
        <w:pStyle w:val="Default"/>
        <w:ind w:firstLine="600"/>
        <w:jc w:val="both"/>
        <w:rPr>
          <w:rFonts w:ascii="Times New Roman" w:hAnsi="Times New Roman"/>
          <w:sz w:val="32"/>
          <w:szCs w:val="32"/>
        </w:rPr>
      </w:pPr>
    </w:p>
    <w:p w:rsidR="00AF60D8" w:rsidRPr="00AF60D8" w:rsidRDefault="00AF60D8">
      <w:pPr>
        <w:pStyle w:val="Default"/>
        <w:ind w:firstLine="600"/>
        <w:jc w:val="both"/>
        <w:rPr>
          <w:rFonts w:ascii="Times New Roman" w:hAnsi="Times New Roman" w:hint="default"/>
          <w:sz w:val="32"/>
          <w:szCs w:val="32"/>
        </w:rPr>
      </w:pPr>
    </w:p>
    <w:sectPr w:rsidR="00AF60D8" w:rsidRPr="00AF60D8" w:rsidSect="009616B5">
      <w:pgSz w:w="16851" w:h="11915" w:orient="landscape"/>
      <w:pgMar w:top="1587" w:right="2098" w:bottom="1474" w:left="1984" w:header="851" w:footer="992" w:gutter="0"/>
      <w:pgNumType w:fmt="numberInDash"/>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0F" w:rsidRDefault="00DC660F">
      <w:pPr>
        <w:rPr>
          <w:rFonts w:hint="default"/>
        </w:rPr>
      </w:pPr>
      <w:r>
        <w:separator/>
      </w:r>
    </w:p>
  </w:endnote>
  <w:endnote w:type="continuationSeparator" w:id="0">
    <w:p w:rsidR="00DC660F" w:rsidRDefault="00DC660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07" w:rsidRDefault="00BD7B07">
    <w:pPr>
      <w:pStyle w:val="a3"/>
      <w:rPr>
        <w:rFonts w:hint="default"/>
      </w:rPr>
    </w:pPr>
    <w:r>
      <w:rPr>
        <w:rFonts w:hint="default"/>
      </w:rPr>
      <w:pict>
        <v:shapetype id="_x0000_t202" coordsize="21600,21600" o:spt="202" path="m,l,21600r21600,l21600,xe">
          <v:stroke joinstyle="miter"/>
          <v:path gradientshapeok="t" o:connecttype="rect"/>
        </v:shapetype>
        <v:shape id="文本框 3" o:spid="_x0000_s2049" type="#_x0000_t202" style="position:absolute;margin-left:278.4pt;margin-top:0;width:2in;height:2in;z-index:1;mso-wrap-style:none;mso-position-horizontal:outside;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filled="f" stroked="f">
          <v:textbox style="mso-next-textbox:#文本框 3;mso-fit-shape-to-text:t" inset="0,0,0,0">
            <w:txbxContent>
              <w:p w:rsidR="00BD7B07" w:rsidRDefault="00BD7B07">
                <w:pPr>
                  <w:pStyle w:val="a3"/>
                  <w:rPr>
                    <w:rFonts w:hint="default"/>
                  </w:rPr>
                </w:pPr>
                <w:r>
                  <w:rPr>
                    <w:sz w:val="24"/>
                    <w:szCs w:val="24"/>
                  </w:rPr>
                  <w:fldChar w:fldCharType="begin"/>
                </w:r>
                <w:r>
                  <w:rPr>
                    <w:sz w:val="24"/>
                    <w:szCs w:val="24"/>
                  </w:rPr>
                  <w:instrText xml:space="preserve"> PAGE  \* MERGEFORMAT </w:instrText>
                </w:r>
                <w:r>
                  <w:rPr>
                    <w:sz w:val="24"/>
                    <w:szCs w:val="24"/>
                  </w:rPr>
                  <w:fldChar w:fldCharType="separate"/>
                </w:r>
                <w:r w:rsidR="009616B5">
                  <w:rPr>
                    <w:rFonts w:hint="default"/>
                    <w:noProof/>
                    <w:sz w:val="24"/>
                    <w:szCs w:val="24"/>
                  </w:rPr>
                  <w:t>- 25 -</w:t>
                </w:r>
                <w:r>
                  <w:rPr>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0F" w:rsidRDefault="00DC660F">
      <w:pPr>
        <w:rPr>
          <w:rFonts w:hint="default"/>
        </w:rPr>
      </w:pPr>
      <w:r>
        <w:separator/>
      </w:r>
    </w:p>
  </w:footnote>
  <w:footnote w:type="continuationSeparator" w:id="0">
    <w:p w:rsidR="00DC660F" w:rsidRDefault="00DC660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0DF"/>
    <w:rsid w:val="F7BFCB10"/>
    <w:rsid w:val="FF6E226D"/>
    <w:rsid w:val="000520DF"/>
    <w:rsid w:val="00060A2F"/>
    <w:rsid w:val="000B6888"/>
    <w:rsid w:val="000B6EF3"/>
    <w:rsid w:val="000E1B1B"/>
    <w:rsid w:val="0013671E"/>
    <w:rsid w:val="001B0B02"/>
    <w:rsid w:val="001B350F"/>
    <w:rsid w:val="001C3280"/>
    <w:rsid w:val="001C6124"/>
    <w:rsid w:val="001F5456"/>
    <w:rsid w:val="0020054B"/>
    <w:rsid w:val="00216D4F"/>
    <w:rsid w:val="00257A33"/>
    <w:rsid w:val="00276067"/>
    <w:rsid w:val="002B12C2"/>
    <w:rsid w:val="002D4918"/>
    <w:rsid w:val="003437C7"/>
    <w:rsid w:val="003A53F0"/>
    <w:rsid w:val="003D79A3"/>
    <w:rsid w:val="00410B70"/>
    <w:rsid w:val="00420698"/>
    <w:rsid w:val="004775B9"/>
    <w:rsid w:val="004A5D91"/>
    <w:rsid w:val="00566E1F"/>
    <w:rsid w:val="005A24E4"/>
    <w:rsid w:val="005C2151"/>
    <w:rsid w:val="006121F5"/>
    <w:rsid w:val="006313E0"/>
    <w:rsid w:val="006618E0"/>
    <w:rsid w:val="00696A71"/>
    <w:rsid w:val="006A6972"/>
    <w:rsid w:val="006F1D17"/>
    <w:rsid w:val="007328EB"/>
    <w:rsid w:val="00763535"/>
    <w:rsid w:val="00787FC9"/>
    <w:rsid w:val="0079764D"/>
    <w:rsid w:val="007A435F"/>
    <w:rsid w:val="007C37D8"/>
    <w:rsid w:val="007F53F6"/>
    <w:rsid w:val="00822C00"/>
    <w:rsid w:val="00891E82"/>
    <w:rsid w:val="008A5471"/>
    <w:rsid w:val="008B3D98"/>
    <w:rsid w:val="00931B06"/>
    <w:rsid w:val="009555FD"/>
    <w:rsid w:val="009616B5"/>
    <w:rsid w:val="009819EE"/>
    <w:rsid w:val="00AB59D1"/>
    <w:rsid w:val="00AF17CF"/>
    <w:rsid w:val="00AF60D8"/>
    <w:rsid w:val="00B15B42"/>
    <w:rsid w:val="00BD0EDC"/>
    <w:rsid w:val="00BD7B07"/>
    <w:rsid w:val="00BE3E8C"/>
    <w:rsid w:val="00BE6DFB"/>
    <w:rsid w:val="00C03DAF"/>
    <w:rsid w:val="00C320BA"/>
    <w:rsid w:val="00C509B5"/>
    <w:rsid w:val="00C61D7A"/>
    <w:rsid w:val="00CA76BA"/>
    <w:rsid w:val="00D41F1F"/>
    <w:rsid w:val="00D60419"/>
    <w:rsid w:val="00D81E85"/>
    <w:rsid w:val="00DC660F"/>
    <w:rsid w:val="00DD2582"/>
    <w:rsid w:val="00E1548A"/>
    <w:rsid w:val="00E4280D"/>
    <w:rsid w:val="00E52FF2"/>
    <w:rsid w:val="00F46332"/>
    <w:rsid w:val="00F8510B"/>
    <w:rsid w:val="021F1A1E"/>
    <w:rsid w:val="02731BCF"/>
    <w:rsid w:val="07FC6D5A"/>
    <w:rsid w:val="087E1B71"/>
    <w:rsid w:val="08BA666E"/>
    <w:rsid w:val="0B1B16A7"/>
    <w:rsid w:val="0C3C2759"/>
    <w:rsid w:val="0D027B7F"/>
    <w:rsid w:val="0D900C5B"/>
    <w:rsid w:val="0D9C280B"/>
    <w:rsid w:val="0E95455C"/>
    <w:rsid w:val="10613646"/>
    <w:rsid w:val="10C52CC9"/>
    <w:rsid w:val="114D0381"/>
    <w:rsid w:val="11767AE0"/>
    <w:rsid w:val="119A6F45"/>
    <w:rsid w:val="12264C72"/>
    <w:rsid w:val="1320346A"/>
    <w:rsid w:val="1323647F"/>
    <w:rsid w:val="150E0C57"/>
    <w:rsid w:val="1541238A"/>
    <w:rsid w:val="158536B8"/>
    <w:rsid w:val="16057DA2"/>
    <w:rsid w:val="1A2E2A06"/>
    <w:rsid w:val="1AF64469"/>
    <w:rsid w:val="1D2A510F"/>
    <w:rsid w:val="1D8E52B0"/>
    <w:rsid w:val="218E3396"/>
    <w:rsid w:val="229B6BA9"/>
    <w:rsid w:val="239076E2"/>
    <w:rsid w:val="24F42875"/>
    <w:rsid w:val="254D5664"/>
    <w:rsid w:val="256F136C"/>
    <w:rsid w:val="256F25AD"/>
    <w:rsid w:val="26582F07"/>
    <w:rsid w:val="267F5B04"/>
    <w:rsid w:val="271A4E7B"/>
    <w:rsid w:val="27A95331"/>
    <w:rsid w:val="27DC5345"/>
    <w:rsid w:val="29EC235A"/>
    <w:rsid w:val="2A8F3F15"/>
    <w:rsid w:val="2AB551E4"/>
    <w:rsid w:val="2AF92313"/>
    <w:rsid w:val="2B04307D"/>
    <w:rsid w:val="2C0A7D34"/>
    <w:rsid w:val="2CCB70E9"/>
    <w:rsid w:val="2D1A4654"/>
    <w:rsid w:val="2D530411"/>
    <w:rsid w:val="2DA72473"/>
    <w:rsid w:val="3049412D"/>
    <w:rsid w:val="306A5BF0"/>
    <w:rsid w:val="316B5E56"/>
    <w:rsid w:val="32BB0F4F"/>
    <w:rsid w:val="32E6615C"/>
    <w:rsid w:val="32FE7BF1"/>
    <w:rsid w:val="339F4C55"/>
    <w:rsid w:val="34A874CB"/>
    <w:rsid w:val="35806AF6"/>
    <w:rsid w:val="37166EAA"/>
    <w:rsid w:val="376FE1BD"/>
    <w:rsid w:val="38E72185"/>
    <w:rsid w:val="3B0D05CD"/>
    <w:rsid w:val="3BBD1641"/>
    <w:rsid w:val="3D1A76FA"/>
    <w:rsid w:val="3E751F60"/>
    <w:rsid w:val="3EC84ED2"/>
    <w:rsid w:val="401542C2"/>
    <w:rsid w:val="401D1AD3"/>
    <w:rsid w:val="42210D40"/>
    <w:rsid w:val="43DD0110"/>
    <w:rsid w:val="44346D69"/>
    <w:rsid w:val="44C26DFD"/>
    <w:rsid w:val="45B768EF"/>
    <w:rsid w:val="45E731AB"/>
    <w:rsid w:val="479F5CB9"/>
    <w:rsid w:val="493A537C"/>
    <w:rsid w:val="495C406E"/>
    <w:rsid w:val="49DA13E3"/>
    <w:rsid w:val="4A181668"/>
    <w:rsid w:val="4A730363"/>
    <w:rsid w:val="4B391638"/>
    <w:rsid w:val="4B75393F"/>
    <w:rsid w:val="4C2F5CD9"/>
    <w:rsid w:val="4CED5EBE"/>
    <w:rsid w:val="4D472FF4"/>
    <w:rsid w:val="4D704B80"/>
    <w:rsid w:val="4DDC597D"/>
    <w:rsid w:val="4E3B34D2"/>
    <w:rsid w:val="4FD75B6A"/>
    <w:rsid w:val="4FE36493"/>
    <w:rsid w:val="50175A10"/>
    <w:rsid w:val="515E63C6"/>
    <w:rsid w:val="51B13584"/>
    <w:rsid w:val="51D576E4"/>
    <w:rsid w:val="51DA4A62"/>
    <w:rsid w:val="526B46B3"/>
    <w:rsid w:val="528466A6"/>
    <w:rsid w:val="532479F4"/>
    <w:rsid w:val="550F2826"/>
    <w:rsid w:val="553E7245"/>
    <w:rsid w:val="576A220C"/>
    <w:rsid w:val="582D2DDD"/>
    <w:rsid w:val="58586CDC"/>
    <w:rsid w:val="5A663E3E"/>
    <w:rsid w:val="5AF301E9"/>
    <w:rsid w:val="5BBA4263"/>
    <w:rsid w:val="5E6B4447"/>
    <w:rsid w:val="5EA643F2"/>
    <w:rsid w:val="5FEC2B48"/>
    <w:rsid w:val="601A18BD"/>
    <w:rsid w:val="607B2203"/>
    <w:rsid w:val="60B33AA5"/>
    <w:rsid w:val="60E31826"/>
    <w:rsid w:val="60F42604"/>
    <w:rsid w:val="61310485"/>
    <w:rsid w:val="62A1760B"/>
    <w:rsid w:val="62E34092"/>
    <w:rsid w:val="63532DC9"/>
    <w:rsid w:val="63646714"/>
    <w:rsid w:val="6424097B"/>
    <w:rsid w:val="643130F0"/>
    <w:rsid w:val="64655468"/>
    <w:rsid w:val="649C12F1"/>
    <w:rsid w:val="672D6841"/>
    <w:rsid w:val="68C83CD9"/>
    <w:rsid w:val="68D13120"/>
    <w:rsid w:val="6B260325"/>
    <w:rsid w:val="6B351EFB"/>
    <w:rsid w:val="6C6659D7"/>
    <w:rsid w:val="6E1E78CC"/>
    <w:rsid w:val="6E5735FA"/>
    <w:rsid w:val="6F8D114C"/>
    <w:rsid w:val="70B32056"/>
    <w:rsid w:val="71071D27"/>
    <w:rsid w:val="747F4B70"/>
    <w:rsid w:val="75214855"/>
    <w:rsid w:val="76934467"/>
    <w:rsid w:val="769B4060"/>
    <w:rsid w:val="774A7112"/>
    <w:rsid w:val="78361195"/>
    <w:rsid w:val="788104A5"/>
    <w:rsid w:val="7A7F1AD5"/>
    <w:rsid w:val="7B515C01"/>
    <w:rsid w:val="7BC2347F"/>
    <w:rsid w:val="7BEA3711"/>
    <w:rsid w:val="7E2C6DFD"/>
    <w:rsid w:val="7F2D5552"/>
    <w:rsid w:val="7FFFFE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Pr>
      <w:rFonts w:ascii="宋体" w:hAnsi="宋体" w:hint="eastAsia"/>
      <w:sz w:val="24"/>
      <w:szCs w:val="24"/>
    </w:rPr>
  </w:style>
  <w:style w:type="paragraph" w:styleId="1">
    <w:name w:val="heading 1"/>
    <w:basedOn w:val="a"/>
    <w:next w:val="a"/>
    <w:qFormat/>
    <w:pPr>
      <w:spacing w:before="100" w:beforeAutospacing="1" w:after="100" w:afterAutospacing="1"/>
      <w:outlineLvl w:val="0"/>
    </w:pPr>
    <w:rPr>
      <w:b/>
      <w:kern w:val="44"/>
      <w:sz w:val="48"/>
      <w:szCs w:val="48"/>
    </w:rPr>
  </w:style>
  <w:style w:type="paragraph" w:styleId="2">
    <w:name w:val="heading 2"/>
    <w:basedOn w:val="a"/>
    <w:next w:val="a"/>
    <w:qFormat/>
    <w:pPr>
      <w:spacing w:before="100" w:beforeAutospacing="1" w:after="100" w:afterAutospacing="1"/>
      <w:outlineLvl w:val="1"/>
    </w:pPr>
    <w:rPr>
      <w:b/>
      <w:sz w:val="36"/>
      <w:szCs w:val="36"/>
    </w:rPr>
  </w:style>
  <w:style w:type="paragraph" w:styleId="3">
    <w:name w:val="heading 3"/>
    <w:basedOn w:val="a"/>
    <w:next w:val="a"/>
    <w:qFormat/>
    <w:pPr>
      <w:spacing w:before="100" w:beforeAutospacing="1" w:after="100" w:afterAutospacing="1"/>
      <w:outlineLvl w:val="2"/>
    </w:pPr>
    <w:rPr>
      <w:b/>
      <w:sz w:val="27"/>
      <w:szCs w:val="27"/>
    </w:rPr>
  </w:style>
  <w:style w:type="paragraph" w:styleId="4">
    <w:name w:val="heading 4"/>
    <w:basedOn w:val="a"/>
    <w:next w:val="a"/>
    <w:qFormat/>
    <w:pPr>
      <w:spacing w:before="100" w:beforeAutospacing="1" w:after="100" w:afterAutospacing="1"/>
      <w:outlineLvl w:val="3"/>
    </w:pPr>
    <w:rPr>
      <w:b/>
    </w:rPr>
  </w:style>
  <w:style w:type="paragraph" w:styleId="5">
    <w:name w:val="heading 5"/>
    <w:basedOn w:val="a"/>
    <w:next w:val="a"/>
    <w:qFormat/>
    <w:pPr>
      <w:spacing w:before="100" w:beforeAutospacing="1" w:after="100" w:afterAutospacing="1"/>
      <w:outlineLvl w:val="4"/>
    </w:pPr>
    <w:rPr>
      <w:b/>
      <w:sz w:val="20"/>
      <w:szCs w:val="20"/>
    </w:rPr>
  </w:style>
  <w:style w:type="paragraph" w:styleId="6">
    <w:name w:val="heading 6"/>
    <w:basedOn w:val="a"/>
    <w:next w:val="a"/>
    <w:qFormat/>
    <w:pPr>
      <w:spacing w:before="100" w:beforeAutospacing="1" w:after="100"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snapToGrid w:val="0"/>
    </w:pPr>
    <w:rPr>
      <w:sz w:val="18"/>
      <w:szCs w:val="18"/>
    </w:rPr>
  </w:style>
  <w:style w:type="paragraph" w:styleId="a4">
    <w:name w:val="header"/>
    <w:basedOn w:val="a"/>
    <w:qFormat/>
    <w:pPr>
      <w:snapToGrid w:val="0"/>
      <w:jc w:val="both"/>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5">
    <w:name w:val="Normal (Web)"/>
    <w:basedOn w:val="a"/>
    <w:qFormat/>
    <w:pPr>
      <w:spacing w:before="100" w:beforeAutospacing="1" w:after="100" w:afterAutospacing="1"/>
    </w:pPr>
  </w:style>
  <w:style w:type="character" w:customStyle="1" w:styleId="15">
    <w:name w:val="15"/>
    <w:qFormat/>
    <w:rPr>
      <w:rFonts w:ascii="Times New Roman" w:hAnsi="Times New Roman" w:cs="Times New Roman" w:hint="default"/>
    </w:rPr>
  </w:style>
  <w:style w:type="character" w:customStyle="1" w:styleId="21">
    <w:name w:val="21"/>
    <w:qFormat/>
    <w:rPr>
      <w:rFonts w:ascii="Times New Roman" w:hAnsi="Times New Roman" w:cs="Times New Roman" w:hint="default"/>
      <w:b/>
    </w:rPr>
  </w:style>
  <w:style w:type="character" w:customStyle="1" w:styleId="10">
    <w:name w:val="10"/>
    <w:qFormat/>
    <w:rPr>
      <w:rFonts w:ascii="Times New Roman" w:hAnsi="Times New Roman" w:cs="Times New Roman" w:hint="default"/>
    </w:rPr>
  </w:style>
  <w:style w:type="character" w:customStyle="1" w:styleId="16">
    <w:name w:val="16"/>
    <w:qFormat/>
    <w:rPr>
      <w:rFonts w:ascii="Times New Roman" w:hAnsi="Times New Roman" w:cs="Times New Roman" w:hint="default"/>
    </w:rPr>
  </w:style>
  <w:style w:type="character" w:customStyle="1" w:styleId="19">
    <w:name w:val="19"/>
    <w:qFormat/>
    <w:rPr>
      <w:rFonts w:ascii="Times New Roman" w:hAnsi="Times New Roman" w:cs="Times New Roman" w:hint="default"/>
    </w:rPr>
  </w:style>
  <w:style w:type="character" w:customStyle="1" w:styleId="17">
    <w:name w:val="17"/>
    <w:qFormat/>
    <w:rPr>
      <w:rFonts w:ascii="Times New Roman" w:hAnsi="Times New Roman" w:cs="Times New Roman" w:hint="default"/>
      <w:b/>
    </w:rPr>
  </w:style>
  <w:style w:type="character" w:customStyle="1" w:styleId="20">
    <w:name w:val="20"/>
    <w:qFormat/>
    <w:rPr>
      <w:rFonts w:ascii="Times New Roman" w:hAnsi="Times New Roman" w:cs="Times New Roman" w:hint="default"/>
      <w:b/>
    </w:rPr>
  </w:style>
  <w:style w:type="character" w:customStyle="1" w:styleId="22">
    <w:name w:val="22"/>
    <w:qFormat/>
    <w:rPr>
      <w:rFonts w:ascii="Times New Roman" w:hAnsi="Times New Roman" w:cs="Times New Roman" w:hint="default"/>
    </w:rPr>
  </w:style>
  <w:style w:type="character" w:customStyle="1" w:styleId="23">
    <w:name w:val="23"/>
    <w:qFormat/>
    <w:rPr>
      <w:rFonts w:ascii="Times New Roman" w:hAnsi="Times New Roman" w:cs="Times New Roman" w:hint="default"/>
      <w:b/>
    </w:rPr>
  </w:style>
  <w:style w:type="character" w:customStyle="1" w:styleId="18">
    <w:name w:val="18"/>
    <w:qFormat/>
    <w:rPr>
      <w:rFonts w:ascii="Times New Roman" w:hAnsi="Times New Roman" w:cs="Times New Roman" w:hint="default"/>
    </w:rPr>
  </w:style>
  <w:style w:type="paragraph" w:customStyle="1" w:styleId="WPSOffice1">
    <w:name w:val="WPSOffice手动目录 1"/>
    <w:qFormat/>
  </w:style>
  <w:style w:type="paragraph" w:customStyle="1" w:styleId="CharCharChar">
    <w:name w:val="普通(网站) Char Char Char"/>
    <w:basedOn w:val="a"/>
    <w:qFormat/>
    <w:pPr>
      <w:spacing w:before="100" w:beforeAutospacing="1" w:after="100" w:afterAutospacing="1"/>
    </w:pPr>
  </w:style>
  <w:style w:type="paragraph" w:customStyle="1" w:styleId="Default">
    <w:name w:val="Default"/>
    <w:basedOn w:val="a"/>
    <w:qFormat/>
    <w:pPr>
      <w:widowControl w:val="0"/>
      <w:autoSpaceDE w:val="0"/>
      <w:autoSpaceDN w:val="0"/>
      <w:adjustRightInd w:val="0"/>
    </w:pPr>
    <w:rPr>
      <w:rFonts w:ascii="仿宋_GB2312" w:eastAsia="仿宋_GB2312"/>
      <w:color w:val="000000"/>
    </w:rPr>
  </w:style>
  <w:style w:type="paragraph" w:customStyle="1" w:styleId="CharChar">
    <w:name w:val="普通(网站) Char Char"/>
    <w:basedOn w:val="a"/>
    <w:qFormat/>
    <w:pPr>
      <w:spacing w:before="100" w:beforeAutospacing="1" w:after="100" w:afterAutospacing="1"/>
    </w:pPr>
  </w:style>
  <w:style w:type="paragraph" w:customStyle="1" w:styleId="HTMLChar">
    <w:name w:val="HTML 预设格式 Char"/>
    <w:basedOn w:val="a"/>
    <w:qFormat/>
  </w:style>
  <w:style w:type="paragraph" w:customStyle="1" w:styleId="Char">
    <w:name w:val="普通(网站) Char"/>
    <w:basedOn w:val="a"/>
    <w:qFormat/>
    <w:pPr>
      <w:spacing w:before="100" w:beforeAutospacing="1" w:after="100" w:afterAutospacing="1"/>
    </w:pPr>
  </w:style>
  <w:style w:type="paragraph" w:customStyle="1" w:styleId="HTMLCharCharCharChar">
    <w:name w:val="HTML 预设格式 Char Char Char Char"/>
    <w:basedOn w:val="a"/>
    <w:qFormat/>
  </w:style>
  <w:style w:type="paragraph" w:customStyle="1" w:styleId="HTMLCharChar">
    <w:name w:val="HTML 预设格式 Char Char"/>
    <w:basedOn w:val="a"/>
    <w:qFormat/>
  </w:style>
  <w:style w:type="paragraph" w:customStyle="1" w:styleId="WPSOffice2">
    <w:name w:val="WPSOffice手动目录 2"/>
    <w:qFormat/>
    <w:pPr>
      <w:ind w:leftChars="200" w:left="200"/>
    </w:pPr>
  </w:style>
  <w:style w:type="paragraph" w:customStyle="1" w:styleId="HTMLCharCharChar">
    <w:name w:val="HTML 预设格式 Char Char Char"/>
    <w:basedOn w:val="a"/>
    <w:qFormat/>
  </w:style>
  <w:style w:type="paragraph" w:styleId="a6">
    <w:name w:val="Balloon Text"/>
    <w:basedOn w:val="a"/>
    <w:link w:val="Char0"/>
    <w:rsid w:val="00696A71"/>
    <w:rPr>
      <w:sz w:val="18"/>
      <w:szCs w:val="18"/>
    </w:rPr>
  </w:style>
  <w:style w:type="character" w:customStyle="1" w:styleId="Char0">
    <w:name w:val="批注框文本 Char"/>
    <w:link w:val="a6"/>
    <w:rsid w:val="00696A71"/>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754">
      <w:bodyDiv w:val="1"/>
      <w:marLeft w:val="0"/>
      <w:marRight w:val="0"/>
      <w:marTop w:val="0"/>
      <w:marBottom w:val="0"/>
      <w:divBdr>
        <w:top w:val="none" w:sz="0" w:space="0" w:color="auto"/>
        <w:left w:val="none" w:sz="0" w:space="0" w:color="auto"/>
        <w:bottom w:val="none" w:sz="0" w:space="0" w:color="auto"/>
        <w:right w:val="none" w:sz="0" w:space="0" w:color="auto"/>
      </w:divBdr>
    </w:div>
    <w:div w:id="119692616">
      <w:bodyDiv w:val="1"/>
      <w:marLeft w:val="0"/>
      <w:marRight w:val="0"/>
      <w:marTop w:val="0"/>
      <w:marBottom w:val="0"/>
      <w:divBdr>
        <w:top w:val="none" w:sz="0" w:space="0" w:color="auto"/>
        <w:left w:val="none" w:sz="0" w:space="0" w:color="auto"/>
        <w:bottom w:val="none" w:sz="0" w:space="0" w:color="auto"/>
        <w:right w:val="none" w:sz="0" w:space="0" w:color="auto"/>
      </w:divBdr>
    </w:div>
    <w:div w:id="220288454">
      <w:bodyDiv w:val="1"/>
      <w:marLeft w:val="0"/>
      <w:marRight w:val="0"/>
      <w:marTop w:val="0"/>
      <w:marBottom w:val="0"/>
      <w:divBdr>
        <w:top w:val="none" w:sz="0" w:space="0" w:color="auto"/>
        <w:left w:val="none" w:sz="0" w:space="0" w:color="auto"/>
        <w:bottom w:val="none" w:sz="0" w:space="0" w:color="auto"/>
        <w:right w:val="none" w:sz="0" w:space="0" w:color="auto"/>
      </w:divBdr>
    </w:div>
    <w:div w:id="299041116">
      <w:bodyDiv w:val="1"/>
      <w:marLeft w:val="0"/>
      <w:marRight w:val="0"/>
      <w:marTop w:val="0"/>
      <w:marBottom w:val="0"/>
      <w:divBdr>
        <w:top w:val="none" w:sz="0" w:space="0" w:color="auto"/>
        <w:left w:val="none" w:sz="0" w:space="0" w:color="auto"/>
        <w:bottom w:val="none" w:sz="0" w:space="0" w:color="auto"/>
        <w:right w:val="none" w:sz="0" w:space="0" w:color="auto"/>
      </w:divBdr>
    </w:div>
    <w:div w:id="403140950">
      <w:bodyDiv w:val="1"/>
      <w:marLeft w:val="0"/>
      <w:marRight w:val="0"/>
      <w:marTop w:val="0"/>
      <w:marBottom w:val="0"/>
      <w:divBdr>
        <w:top w:val="none" w:sz="0" w:space="0" w:color="auto"/>
        <w:left w:val="none" w:sz="0" w:space="0" w:color="auto"/>
        <w:bottom w:val="none" w:sz="0" w:space="0" w:color="auto"/>
        <w:right w:val="none" w:sz="0" w:space="0" w:color="auto"/>
      </w:divBdr>
    </w:div>
    <w:div w:id="471143471">
      <w:bodyDiv w:val="1"/>
      <w:marLeft w:val="0"/>
      <w:marRight w:val="0"/>
      <w:marTop w:val="0"/>
      <w:marBottom w:val="0"/>
      <w:divBdr>
        <w:top w:val="none" w:sz="0" w:space="0" w:color="auto"/>
        <w:left w:val="none" w:sz="0" w:space="0" w:color="auto"/>
        <w:bottom w:val="none" w:sz="0" w:space="0" w:color="auto"/>
        <w:right w:val="none" w:sz="0" w:space="0" w:color="auto"/>
      </w:divBdr>
    </w:div>
    <w:div w:id="498539994">
      <w:bodyDiv w:val="1"/>
      <w:marLeft w:val="0"/>
      <w:marRight w:val="0"/>
      <w:marTop w:val="0"/>
      <w:marBottom w:val="0"/>
      <w:divBdr>
        <w:top w:val="none" w:sz="0" w:space="0" w:color="auto"/>
        <w:left w:val="none" w:sz="0" w:space="0" w:color="auto"/>
        <w:bottom w:val="none" w:sz="0" w:space="0" w:color="auto"/>
        <w:right w:val="none" w:sz="0" w:space="0" w:color="auto"/>
      </w:divBdr>
    </w:div>
    <w:div w:id="533005090">
      <w:bodyDiv w:val="1"/>
      <w:marLeft w:val="0"/>
      <w:marRight w:val="0"/>
      <w:marTop w:val="0"/>
      <w:marBottom w:val="0"/>
      <w:divBdr>
        <w:top w:val="none" w:sz="0" w:space="0" w:color="auto"/>
        <w:left w:val="none" w:sz="0" w:space="0" w:color="auto"/>
        <w:bottom w:val="none" w:sz="0" w:space="0" w:color="auto"/>
        <w:right w:val="none" w:sz="0" w:space="0" w:color="auto"/>
      </w:divBdr>
    </w:div>
    <w:div w:id="597254267">
      <w:bodyDiv w:val="1"/>
      <w:marLeft w:val="0"/>
      <w:marRight w:val="0"/>
      <w:marTop w:val="0"/>
      <w:marBottom w:val="0"/>
      <w:divBdr>
        <w:top w:val="none" w:sz="0" w:space="0" w:color="auto"/>
        <w:left w:val="none" w:sz="0" w:space="0" w:color="auto"/>
        <w:bottom w:val="none" w:sz="0" w:space="0" w:color="auto"/>
        <w:right w:val="none" w:sz="0" w:space="0" w:color="auto"/>
      </w:divBdr>
    </w:div>
    <w:div w:id="736512921">
      <w:bodyDiv w:val="1"/>
      <w:marLeft w:val="0"/>
      <w:marRight w:val="0"/>
      <w:marTop w:val="0"/>
      <w:marBottom w:val="0"/>
      <w:divBdr>
        <w:top w:val="none" w:sz="0" w:space="0" w:color="auto"/>
        <w:left w:val="none" w:sz="0" w:space="0" w:color="auto"/>
        <w:bottom w:val="none" w:sz="0" w:space="0" w:color="auto"/>
        <w:right w:val="none" w:sz="0" w:space="0" w:color="auto"/>
      </w:divBdr>
    </w:div>
    <w:div w:id="846560264">
      <w:bodyDiv w:val="1"/>
      <w:marLeft w:val="0"/>
      <w:marRight w:val="0"/>
      <w:marTop w:val="0"/>
      <w:marBottom w:val="0"/>
      <w:divBdr>
        <w:top w:val="none" w:sz="0" w:space="0" w:color="auto"/>
        <w:left w:val="none" w:sz="0" w:space="0" w:color="auto"/>
        <w:bottom w:val="none" w:sz="0" w:space="0" w:color="auto"/>
        <w:right w:val="none" w:sz="0" w:space="0" w:color="auto"/>
      </w:divBdr>
    </w:div>
    <w:div w:id="919021707">
      <w:bodyDiv w:val="1"/>
      <w:marLeft w:val="0"/>
      <w:marRight w:val="0"/>
      <w:marTop w:val="0"/>
      <w:marBottom w:val="0"/>
      <w:divBdr>
        <w:top w:val="none" w:sz="0" w:space="0" w:color="auto"/>
        <w:left w:val="none" w:sz="0" w:space="0" w:color="auto"/>
        <w:bottom w:val="none" w:sz="0" w:space="0" w:color="auto"/>
        <w:right w:val="none" w:sz="0" w:space="0" w:color="auto"/>
      </w:divBdr>
    </w:div>
    <w:div w:id="1004554231">
      <w:bodyDiv w:val="1"/>
      <w:marLeft w:val="0"/>
      <w:marRight w:val="0"/>
      <w:marTop w:val="0"/>
      <w:marBottom w:val="0"/>
      <w:divBdr>
        <w:top w:val="none" w:sz="0" w:space="0" w:color="auto"/>
        <w:left w:val="none" w:sz="0" w:space="0" w:color="auto"/>
        <w:bottom w:val="none" w:sz="0" w:space="0" w:color="auto"/>
        <w:right w:val="none" w:sz="0" w:space="0" w:color="auto"/>
      </w:divBdr>
    </w:div>
    <w:div w:id="1271087349">
      <w:bodyDiv w:val="1"/>
      <w:marLeft w:val="0"/>
      <w:marRight w:val="0"/>
      <w:marTop w:val="0"/>
      <w:marBottom w:val="0"/>
      <w:divBdr>
        <w:top w:val="none" w:sz="0" w:space="0" w:color="auto"/>
        <w:left w:val="none" w:sz="0" w:space="0" w:color="auto"/>
        <w:bottom w:val="none" w:sz="0" w:space="0" w:color="auto"/>
        <w:right w:val="none" w:sz="0" w:space="0" w:color="auto"/>
      </w:divBdr>
    </w:div>
    <w:div w:id="1326545794">
      <w:bodyDiv w:val="1"/>
      <w:marLeft w:val="0"/>
      <w:marRight w:val="0"/>
      <w:marTop w:val="0"/>
      <w:marBottom w:val="0"/>
      <w:divBdr>
        <w:top w:val="none" w:sz="0" w:space="0" w:color="auto"/>
        <w:left w:val="none" w:sz="0" w:space="0" w:color="auto"/>
        <w:bottom w:val="none" w:sz="0" w:space="0" w:color="auto"/>
        <w:right w:val="none" w:sz="0" w:space="0" w:color="auto"/>
      </w:divBdr>
    </w:div>
    <w:div w:id="1576548952">
      <w:bodyDiv w:val="1"/>
      <w:marLeft w:val="0"/>
      <w:marRight w:val="0"/>
      <w:marTop w:val="0"/>
      <w:marBottom w:val="0"/>
      <w:divBdr>
        <w:top w:val="none" w:sz="0" w:space="0" w:color="auto"/>
        <w:left w:val="none" w:sz="0" w:space="0" w:color="auto"/>
        <w:bottom w:val="none" w:sz="0" w:space="0" w:color="auto"/>
        <w:right w:val="none" w:sz="0" w:space="0" w:color="auto"/>
      </w:divBdr>
    </w:div>
    <w:div w:id="1689597655">
      <w:bodyDiv w:val="1"/>
      <w:marLeft w:val="0"/>
      <w:marRight w:val="0"/>
      <w:marTop w:val="0"/>
      <w:marBottom w:val="0"/>
      <w:divBdr>
        <w:top w:val="none" w:sz="0" w:space="0" w:color="auto"/>
        <w:left w:val="none" w:sz="0" w:space="0" w:color="auto"/>
        <w:bottom w:val="none" w:sz="0" w:space="0" w:color="auto"/>
        <w:right w:val="none" w:sz="0" w:space="0" w:color="auto"/>
      </w:divBdr>
    </w:div>
    <w:div w:id="1793284908">
      <w:bodyDiv w:val="1"/>
      <w:marLeft w:val="0"/>
      <w:marRight w:val="0"/>
      <w:marTop w:val="0"/>
      <w:marBottom w:val="0"/>
      <w:divBdr>
        <w:top w:val="none" w:sz="0" w:space="0" w:color="auto"/>
        <w:left w:val="none" w:sz="0" w:space="0" w:color="auto"/>
        <w:bottom w:val="none" w:sz="0" w:space="0" w:color="auto"/>
        <w:right w:val="none" w:sz="0" w:space="0" w:color="auto"/>
      </w:divBdr>
    </w:div>
    <w:div w:id="1831216760">
      <w:bodyDiv w:val="1"/>
      <w:marLeft w:val="0"/>
      <w:marRight w:val="0"/>
      <w:marTop w:val="0"/>
      <w:marBottom w:val="0"/>
      <w:divBdr>
        <w:top w:val="none" w:sz="0" w:space="0" w:color="auto"/>
        <w:left w:val="none" w:sz="0" w:space="0" w:color="auto"/>
        <w:bottom w:val="none" w:sz="0" w:space="0" w:color="auto"/>
        <w:right w:val="none" w:sz="0" w:space="0" w:color="auto"/>
      </w:divBdr>
    </w:div>
    <w:div w:id="2049838304">
      <w:bodyDiv w:val="1"/>
      <w:marLeft w:val="0"/>
      <w:marRight w:val="0"/>
      <w:marTop w:val="0"/>
      <w:marBottom w:val="0"/>
      <w:divBdr>
        <w:top w:val="none" w:sz="0" w:space="0" w:color="auto"/>
        <w:left w:val="none" w:sz="0" w:space="0" w:color="auto"/>
        <w:bottom w:val="none" w:sz="0" w:space="0" w:color="auto"/>
        <w:right w:val="none" w:sz="0" w:space="0" w:color="auto"/>
      </w:divBdr>
    </w:div>
    <w:div w:id="211328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64DDF-31A8-4E75-BB32-CF052BF7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2395</Words>
  <Characters>13658</Characters>
  <Application>Microsoft Office Word</Application>
  <DocSecurity>0</DocSecurity>
  <Lines>113</Lines>
  <Paragraphs>32</Paragraphs>
  <ScaleCrop>false</ScaleCrop>
  <Company>Microsoft</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155</cp:revision>
  <cp:lastPrinted>2021-08-30T02:16:00Z</cp:lastPrinted>
  <dcterms:created xsi:type="dcterms:W3CDTF">2021-08-25T08:49:00Z</dcterms:created>
  <dcterms:modified xsi:type="dcterms:W3CDTF">2021-08-30T11:09:00Z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AA03740C15204996BCADB410BCE858CB</vt:lpwstr>
  </property>
  <property fmtid="{D5CDD505-2E9C-101B-9397-08002B2CF9AE}" pid="4" name="woTemplateTypoMode">
    <vt:lpwstr>web</vt:lpwstr>
  </property>
  <property fmtid="{D5CDD505-2E9C-101B-9397-08002B2CF9AE}" pid="5" name="woTemplate">
    <vt:r8>1</vt:r8>
  </property>
</Properties>
</file>