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D4" w:rsidRDefault="001F64D4">
      <w:pPr>
        <w:spacing w:line="560" w:lineRule="exact"/>
        <w:jc w:val="center"/>
        <w:rPr>
          <w:rFonts w:cs="方正小标宋简体"/>
          <w:bCs/>
          <w:spacing w:val="15"/>
          <w:sz w:val="44"/>
          <w:szCs w:val="44"/>
        </w:rPr>
      </w:pPr>
    </w:p>
    <w:p w:rsidR="001F64D4" w:rsidRDefault="001F64D4">
      <w:pPr>
        <w:spacing w:line="560" w:lineRule="exact"/>
        <w:jc w:val="center"/>
        <w:rPr>
          <w:rFonts w:cs="方正小标宋简体"/>
          <w:bCs/>
          <w:spacing w:val="15"/>
          <w:sz w:val="44"/>
          <w:szCs w:val="44"/>
        </w:rPr>
      </w:pPr>
    </w:p>
    <w:p w:rsidR="001F64D4" w:rsidRDefault="001F64D4">
      <w:pPr>
        <w:spacing w:line="560" w:lineRule="exact"/>
        <w:jc w:val="center"/>
        <w:rPr>
          <w:rFonts w:cs="方正小标宋简体"/>
          <w:bCs/>
          <w:spacing w:val="15"/>
          <w:sz w:val="44"/>
          <w:szCs w:val="44"/>
        </w:rPr>
      </w:pPr>
    </w:p>
    <w:p w:rsidR="001F64D4" w:rsidRDefault="001F64D4">
      <w:pPr>
        <w:spacing w:line="560" w:lineRule="exact"/>
        <w:jc w:val="center"/>
        <w:rPr>
          <w:rFonts w:cs="方正小标宋简体"/>
          <w:bCs/>
          <w:spacing w:val="15"/>
          <w:sz w:val="44"/>
          <w:szCs w:val="44"/>
        </w:rPr>
      </w:pPr>
    </w:p>
    <w:p w:rsidR="001F64D4" w:rsidRDefault="001F64D4">
      <w:pPr>
        <w:spacing w:line="560" w:lineRule="exact"/>
        <w:jc w:val="center"/>
        <w:rPr>
          <w:rFonts w:cs="方正小标宋简体"/>
          <w:bCs/>
          <w:spacing w:val="15"/>
          <w:sz w:val="44"/>
          <w:szCs w:val="44"/>
        </w:rPr>
      </w:pPr>
    </w:p>
    <w:p w:rsidR="001F64D4" w:rsidRDefault="001F64D4">
      <w:pPr>
        <w:spacing w:line="560" w:lineRule="exact"/>
        <w:jc w:val="center"/>
        <w:rPr>
          <w:rFonts w:cs="方正小标宋简体"/>
          <w:bCs/>
          <w:spacing w:val="15"/>
          <w:sz w:val="44"/>
          <w:szCs w:val="44"/>
        </w:rPr>
      </w:pPr>
    </w:p>
    <w:p w:rsidR="001F64D4" w:rsidRDefault="00E36726">
      <w:pPr>
        <w:spacing w:line="560" w:lineRule="exact"/>
        <w:jc w:val="center"/>
        <w:rPr>
          <w:rFonts w:cs="方正小标宋简体"/>
          <w:b/>
          <w:bCs/>
          <w:spacing w:val="15"/>
          <w:sz w:val="52"/>
          <w:szCs w:val="52"/>
        </w:rPr>
      </w:pPr>
      <w:r>
        <w:rPr>
          <w:rFonts w:cs="方正小标宋简体" w:hint="eastAsia"/>
          <w:b/>
          <w:bCs/>
          <w:spacing w:val="15"/>
          <w:sz w:val="52"/>
          <w:szCs w:val="52"/>
        </w:rPr>
        <w:t>浙江革命烈士纪念馆</w:t>
      </w:r>
    </w:p>
    <w:p w:rsidR="001F64D4" w:rsidRDefault="00E36726">
      <w:pPr>
        <w:spacing w:line="560" w:lineRule="exact"/>
        <w:jc w:val="center"/>
        <w:rPr>
          <w:rFonts w:cs="方正小标宋简体"/>
          <w:b/>
          <w:bCs/>
          <w:spacing w:val="15"/>
          <w:sz w:val="52"/>
          <w:szCs w:val="52"/>
        </w:rPr>
      </w:pPr>
      <w:r>
        <w:rPr>
          <w:rFonts w:cs="方正小标宋简体" w:hint="eastAsia"/>
          <w:b/>
          <w:bCs/>
          <w:spacing w:val="15"/>
          <w:sz w:val="52"/>
          <w:szCs w:val="52"/>
        </w:rPr>
        <w:t>2020年度单位决算</w:t>
      </w: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jc w:val="center"/>
        <w:rPr>
          <w:b/>
        </w:rPr>
      </w:pPr>
    </w:p>
    <w:p w:rsidR="001F64D4" w:rsidRDefault="001F64D4">
      <w:pPr>
        <w:pStyle w:val="a5"/>
        <w:rPr>
          <w:b/>
        </w:rPr>
      </w:pPr>
    </w:p>
    <w:p w:rsidR="001F64D4" w:rsidRDefault="00E36726">
      <w:pPr>
        <w:spacing w:line="580" w:lineRule="exact"/>
        <w:jc w:val="center"/>
        <w:rPr>
          <w:rFonts w:ascii="黑体" w:eastAsia="黑体" w:hAnsi="黑体" w:cs="黑体"/>
          <w:sz w:val="44"/>
          <w:szCs w:val="44"/>
        </w:rPr>
      </w:pPr>
      <w:r>
        <w:rPr>
          <w:rFonts w:ascii="黑体" w:eastAsia="黑体" w:hAnsi="黑体" w:cs="黑体" w:hint="eastAsia"/>
          <w:sz w:val="44"/>
          <w:szCs w:val="44"/>
        </w:rPr>
        <w:lastRenderedPageBreak/>
        <w:t>目录</w:t>
      </w:r>
    </w:p>
    <w:p w:rsidR="001F64D4" w:rsidRDefault="001F64D4">
      <w:pPr>
        <w:spacing w:line="580" w:lineRule="exact"/>
        <w:jc w:val="both"/>
        <w:rPr>
          <w:sz w:val="32"/>
          <w:szCs w:val="32"/>
        </w:rPr>
      </w:pPr>
    </w:p>
    <w:p w:rsidR="001F64D4" w:rsidRDefault="00154BED">
      <w:pPr>
        <w:pStyle w:val="WPSOffice1"/>
        <w:tabs>
          <w:tab w:val="right" w:leader="dot" w:pos="8845"/>
        </w:tabs>
        <w:spacing w:line="580" w:lineRule="exact"/>
        <w:rPr>
          <w:sz w:val="32"/>
          <w:szCs w:val="32"/>
        </w:rPr>
      </w:pPr>
      <w:hyperlink w:anchor="_Toc11590_WPSOffice_Level1" w:history="1">
        <w:r w:rsidR="00E36726">
          <w:rPr>
            <w:rStyle w:val="a3"/>
            <w:rFonts w:ascii="黑体" w:eastAsia="黑体" w:hAnsi="黑体" w:cs="黑体" w:hint="eastAsia"/>
            <w:color w:val="auto"/>
            <w:sz w:val="32"/>
            <w:szCs w:val="32"/>
            <w:u w:val="none"/>
          </w:rPr>
          <w:t>一、概况</w:t>
        </w:r>
        <w:r w:rsidR="00E36726">
          <w:rPr>
            <w:rStyle w:val="a3"/>
            <w:rFonts w:ascii="黑体" w:eastAsia="黑体" w:hAnsi="黑体" w:cs="黑体" w:hint="eastAsia"/>
            <w:color w:val="auto"/>
            <w:sz w:val="32"/>
            <w:szCs w:val="32"/>
            <w:u w:val="none"/>
          </w:rPr>
          <w:tab/>
          <w:t>1</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4500_WPSOffice_Level2" w:history="1">
        <w:r w:rsidR="00E36726">
          <w:rPr>
            <w:rStyle w:val="a3"/>
            <w:rFonts w:ascii="楷体_GB2312" w:eastAsia="楷体_GB2312" w:hAnsi="楷体_GB2312" w:cs="楷体_GB2312" w:hint="eastAsia"/>
            <w:color w:val="auto"/>
            <w:sz w:val="32"/>
            <w:szCs w:val="32"/>
            <w:u w:val="none"/>
          </w:rPr>
          <w:t>（一）单位职责</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1</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30488_WPSOffice_Level2" w:history="1">
        <w:r w:rsidR="00E36726">
          <w:rPr>
            <w:rStyle w:val="a3"/>
            <w:rFonts w:ascii="楷体_GB2312" w:eastAsia="楷体_GB2312" w:hAnsi="楷体_GB2312" w:cs="楷体_GB2312" w:hint="eastAsia"/>
            <w:color w:val="auto"/>
            <w:sz w:val="32"/>
            <w:szCs w:val="32"/>
            <w:u w:val="none"/>
          </w:rPr>
          <w:t>（二）机构设置</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2</w:t>
        </w:r>
      </w:hyperlink>
    </w:p>
    <w:p w:rsidR="001F64D4" w:rsidRDefault="00154BED">
      <w:pPr>
        <w:pStyle w:val="WPSOffice1"/>
        <w:tabs>
          <w:tab w:val="right" w:leader="dot" w:pos="8845"/>
        </w:tabs>
        <w:spacing w:line="580" w:lineRule="exact"/>
        <w:rPr>
          <w:rFonts w:ascii="黑体" w:eastAsia="黑体" w:hAnsi="黑体" w:cs="黑体"/>
          <w:sz w:val="32"/>
          <w:szCs w:val="32"/>
        </w:rPr>
      </w:pPr>
      <w:hyperlink w:anchor="_Toc5496_WPSOffice_Level1" w:history="1">
        <w:r w:rsidR="00E36726">
          <w:rPr>
            <w:rStyle w:val="a3"/>
            <w:rFonts w:ascii="黑体" w:eastAsia="黑体" w:hAnsi="黑体" w:cs="黑体" w:hint="eastAsia"/>
            <w:color w:val="auto"/>
            <w:sz w:val="32"/>
            <w:szCs w:val="32"/>
            <w:u w:val="none"/>
          </w:rPr>
          <w:t>二、2020年度单位决算公开表</w:t>
        </w:r>
        <w:r w:rsidR="00E36726">
          <w:rPr>
            <w:rStyle w:val="a3"/>
            <w:rFonts w:ascii="黑体" w:eastAsia="黑体" w:hAnsi="黑体" w:cs="黑体" w:hint="eastAsia"/>
            <w:color w:val="auto"/>
            <w:sz w:val="32"/>
            <w:szCs w:val="32"/>
            <w:u w:val="none"/>
          </w:rPr>
          <w:tab/>
          <w:t>2</w:t>
        </w:r>
      </w:hyperlink>
    </w:p>
    <w:p w:rsidR="001F64D4" w:rsidRDefault="00154BED">
      <w:pPr>
        <w:pStyle w:val="WPSOffice1"/>
        <w:tabs>
          <w:tab w:val="right" w:leader="dot" w:pos="8845"/>
        </w:tabs>
        <w:spacing w:line="580" w:lineRule="exact"/>
        <w:rPr>
          <w:rFonts w:ascii="黑体" w:eastAsia="黑体" w:hAnsi="黑体" w:cs="黑体"/>
          <w:sz w:val="32"/>
          <w:szCs w:val="32"/>
        </w:rPr>
      </w:pPr>
      <w:hyperlink w:anchor="_Toc31490_WPSOffice_Level1" w:history="1">
        <w:r w:rsidR="00E36726">
          <w:rPr>
            <w:rStyle w:val="a3"/>
            <w:rFonts w:ascii="黑体" w:eastAsia="黑体" w:hAnsi="黑体" w:cs="黑体" w:hint="eastAsia"/>
            <w:color w:val="auto"/>
            <w:sz w:val="32"/>
            <w:szCs w:val="32"/>
            <w:u w:val="none"/>
          </w:rPr>
          <w:t>三、2020年度单位决算情况说明</w:t>
        </w:r>
        <w:r w:rsidR="00E36726">
          <w:rPr>
            <w:rStyle w:val="a3"/>
            <w:rFonts w:ascii="黑体" w:eastAsia="黑体" w:hAnsi="黑体" w:cs="黑体" w:hint="eastAsia"/>
            <w:color w:val="auto"/>
            <w:sz w:val="32"/>
            <w:szCs w:val="32"/>
            <w:u w:val="none"/>
          </w:rPr>
          <w:tab/>
          <w:t>2</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16404_WPSOffice_Level2" w:history="1">
        <w:r w:rsidR="00E36726">
          <w:rPr>
            <w:rStyle w:val="a3"/>
            <w:rFonts w:ascii="楷体_GB2312" w:eastAsia="楷体_GB2312" w:hAnsi="楷体_GB2312" w:cs="楷体_GB2312" w:hint="eastAsia"/>
            <w:color w:val="auto"/>
            <w:sz w:val="32"/>
            <w:szCs w:val="32"/>
            <w:u w:val="none"/>
          </w:rPr>
          <w:t>（一）收入支出决算总体情况说明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2</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10425_WPSOffice_Level2" w:history="1">
        <w:r w:rsidR="00E36726">
          <w:rPr>
            <w:rStyle w:val="a3"/>
            <w:rFonts w:ascii="楷体_GB2312" w:eastAsia="楷体_GB2312" w:hAnsi="楷体_GB2312" w:cs="楷体_GB2312" w:hint="eastAsia"/>
            <w:color w:val="auto"/>
            <w:sz w:val="32"/>
            <w:szCs w:val="32"/>
            <w:u w:val="none"/>
          </w:rPr>
          <w:t>（二）收入决算情况说明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2</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15464_WPSOffice_Level2" w:history="1">
        <w:r w:rsidR="00E36726">
          <w:rPr>
            <w:rStyle w:val="a3"/>
            <w:rFonts w:ascii="楷体_GB2312" w:eastAsia="楷体_GB2312" w:hAnsi="楷体_GB2312" w:cs="楷体_GB2312" w:hint="eastAsia"/>
            <w:color w:val="auto"/>
            <w:sz w:val="32"/>
            <w:szCs w:val="32"/>
            <w:u w:val="none"/>
          </w:rPr>
          <w:t>（三）支出决算情况说明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3</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30962_WPSOffice_Level2" w:history="1">
        <w:r w:rsidR="00E36726">
          <w:rPr>
            <w:rStyle w:val="a3"/>
            <w:rFonts w:ascii="楷体_GB2312" w:eastAsia="楷体_GB2312" w:hAnsi="楷体_GB2312" w:cs="楷体_GB2312" w:hint="eastAsia"/>
            <w:color w:val="auto"/>
            <w:sz w:val="32"/>
            <w:szCs w:val="32"/>
            <w:u w:val="none"/>
          </w:rPr>
          <w:t>（四）财政拨款收入支出决算总体情况说明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4</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31549_WPSOffice_Level2" w:history="1">
        <w:r w:rsidR="00E36726">
          <w:rPr>
            <w:rStyle w:val="a3"/>
            <w:rFonts w:ascii="楷体_GB2312" w:eastAsia="楷体_GB2312" w:hAnsi="楷体_GB2312" w:cs="楷体_GB2312" w:hint="eastAsia"/>
            <w:color w:val="auto"/>
            <w:sz w:val="32"/>
            <w:szCs w:val="32"/>
            <w:u w:val="none"/>
          </w:rPr>
          <w:t>（五）一般公共预算财政拨款支出决算情况说明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4</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12437_WPSOffice_Level2" w:history="1">
        <w:r w:rsidR="00E36726">
          <w:rPr>
            <w:rStyle w:val="a3"/>
            <w:rFonts w:ascii="楷体_GB2312" w:eastAsia="楷体_GB2312" w:hAnsi="楷体_GB2312" w:cs="楷体_GB2312" w:hint="eastAsia"/>
            <w:color w:val="auto"/>
            <w:sz w:val="32"/>
            <w:szCs w:val="32"/>
            <w:u w:val="none"/>
          </w:rPr>
          <w:t>（六）一般公共预算财政拨款基本支出决算情况说明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5</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28693_WPSOffice_Level2" w:history="1">
        <w:r w:rsidR="00E36726">
          <w:rPr>
            <w:rStyle w:val="a3"/>
            <w:rFonts w:ascii="楷体_GB2312" w:eastAsia="楷体_GB2312" w:hAnsi="楷体_GB2312" w:cs="楷体_GB2312" w:hint="eastAsia"/>
            <w:color w:val="auto"/>
            <w:sz w:val="32"/>
            <w:szCs w:val="32"/>
            <w:u w:val="none"/>
          </w:rPr>
          <w:t>（七）政府性基金预算财政拨款支出决算总体情况</w:t>
        </w:r>
        <w:r w:rsidR="00E82A19">
          <w:rPr>
            <w:rStyle w:val="a3"/>
            <w:rFonts w:ascii="楷体_GB2312" w:eastAsia="楷体_GB2312" w:hAnsi="楷体_GB2312" w:cs="楷体_GB2312" w:hint="eastAsia"/>
            <w:color w:val="auto"/>
            <w:sz w:val="32"/>
            <w:szCs w:val="32"/>
            <w:u w:val="none"/>
          </w:rPr>
          <w:t>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6</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28693_WPSOffice_Level2" w:history="1">
        <w:r w:rsidR="00E36726">
          <w:rPr>
            <w:rStyle w:val="a3"/>
            <w:rFonts w:ascii="楷体_GB2312" w:eastAsia="楷体_GB2312" w:hAnsi="楷体_GB2312" w:cs="楷体_GB2312" w:hint="eastAsia"/>
            <w:color w:val="auto"/>
            <w:sz w:val="32"/>
            <w:szCs w:val="32"/>
            <w:u w:val="none"/>
          </w:rPr>
          <w:t>（八）国有资本经营预算财政拨款支出决算总体情况说明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6</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28693_WPSOffice_Level2" w:history="1">
        <w:r w:rsidR="00E36726">
          <w:rPr>
            <w:rStyle w:val="a3"/>
            <w:rFonts w:ascii="楷体_GB2312" w:eastAsia="楷体_GB2312" w:hAnsi="楷体_GB2312" w:cs="楷体_GB2312" w:hint="eastAsia"/>
            <w:color w:val="auto"/>
            <w:sz w:val="32"/>
            <w:szCs w:val="32"/>
            <w:u w:val="none"/>
          </w:rPr>
          <w:t>（九）</w:t>
        </w:r>
        <w:r w:rsidR="00E36726">
          <w:rPr>
            <w:rStyle w:val="a3"/>
            <w:rFonts w:ascii="楷体_GB2312" w:eastAsia="楷体_GB2312" w:hAnsi="楷体_GB2312" w:cs="楷体_GB2312" w:hint="eastAsia"/>
            <w:color w:val="auto"/>
            <w:w w:val="93"/>
            <w:sz w:val="32"/>
            <w:szCs w:val="32"/>
            <w:u w:val="none"/>
          </w:rPr>
          <w:t>一般公共预算财政拨款“三公”经费支出决算情况说明</w:t>
        </w:r>
        <w:r w:rsidR="00E36726">
          <w:rPr>
            <w:rStyle w:val="a3"/>
            <w:rFonts w:ascii="楷体_GB2312" w:eastAsia="楷体_GB2312" w:hAnsi="楷体_GB2312" w:cs="楷体_GB2312" w:hint="eastAsia"/>
            <w:color w:val="auto"/>
            <w:sz w:val="32"/>
            <w:szCs w:val="32"/>
            <w:u w:val="none"/>
          </w:rPr>
          <w:tab/>
        </w:r>
      </w:hyperlink>
      <w:r w:rsidR="00E36726">
        <w:rPr>
          <w:rFonts w:ascii="楷体_GB2312" w:eastAsia="楷体_GB2312" w:hAnsi="楷体_GB2312" w:cs="楷体_GB2312" w:hint="eastAsia"/>
          <w:sz w:val="32"/>
          <w:szCs w:val="32"/>
        </w:rPr>
        <w:t>7</w:t>
      </w:r>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5735_WPSOffice_Level2" w:history="1">
        <w:r w:rsidR="00E36726">
          <w:rPr>
            <w:rStyle w:val="a3"/>
            <w:rFonts w:ascii="楷体_GB2312" w:eastAsia="楷体_GB2312" w:hAnsi="楷体_GB2312" w:cs="楷体_GB2312" w:hint="eastAsia"/>
            <w:color w:val="auto"/>
            <w:sz w:val="32"/>
            <w:szCs w:val="32"/>
            <w:u w:val="none"/>
          </w:rPr>
          <w:t>（十）机关运行经费支出说明</w:t>
        </w:r>
        <w:r w:rsidR="00E36726">
          <w:rPr>
            <w:rStyle w:val="a3"/>
            <w:rFonts w:ascii="楷体_GB2312" w:eastAsia="楷体_GB2312" w:hAnsi="楷体_GB2312" w:cs="楷体_GB2312" w:hint="eastAsia"/>
            <w:color w:val="auto"/>
            <w:sz w:val="32"/>
            <w:szCs w:val="32"/>
            <w:u w:val="none"/>
          </w:rPr>
          <w:tab/>
        </w:r>
        <w:r w:rsidR="00E36726">
          <w:rPr>
            <w:rStyle w:val="a3"/>
            <w:rFonts w:ascii="黑体" w:eastAsia="黑体" w:hAnsi="黑体" w:cs="黑体" w:hint="eastAsia"/>
            <w:color w:val="auto"/>
            <w:sz w:val="32"/>
            <w:szCs w:val="32"/>
            <w:u w:val="none"/>
          </w:rPr>
          <w:t>8</w:t>
        </w:r>
      </w:hyperlink>
    </w:p>
    <w:p w:rsidR="001F64D4" w:rsidRDefault="00154BED">
      <w:pPr>
        <w:pStyle w:val="WPSOffice2"/>
        <w:tabs>
          <w:tab w:val="right" w:leader="dot" w:pos="8845"/>
        </w:tabs>
        <w:spacing w:line="580" w:lineRule="exact"/>
        <w:ind w:left="480"/>
        <w:rPr>
          <w:rFonts w:ascii="楷体_GB2312" w:eastAsia="楷体_GB2312" w:hAnsi="楷体_GB2312" w:cs="楷体_GB2312"/>
          <w:sz w:val="32"/>
          <w:szCs w:val="32"/>
        </w:rPr>
      </w:pPr>
      <w:hyperlink w:anchor="_Toc10924_WPSOffice_Level2" w:history="1">
        <w:r w:rsidR="00E36726">
          <w:rPr>
            <w:rStyle w:val="a3"/>
            <w:rFonts w:ascii="楷体_GB2312" w:eastAsia="楷体_GB2312" w:hAnsi="楷体_GB2312" w:cs="楷体_GB2312" w:hint="eastAsia"/>
            <w:color w:val="auto"/>
            <w:sz w:val="32"/>
            <w:szCs w:val="32"/>
            <w:u w:val="none"/>
          </w:rPr>
          <w:t>（十一）政府采购支出说明</w:t>
        </w:r>
        <w:r w:rsidR="00E36726">
          <w:rPr>
            <w:rStyle w:val="a3"/>
            <w:rFonts w:ascii="楷体_GB2312" w:eastAsia="楷体_GB2312" w:hAnsi="楷体_GB2312" w:cs="楷体_GB2312" w:hint="eastAsia"/>
            <w:color w:val="auto"/>
            <w:sz w:val="32"/>
            <w:szCs w:val="32"/>
            <w:u w:val="none"/>
          </w:rPr>
          <w:tab/>
        </w:r>
      </w:hyperlink>
      <w:r w:rsidR="00E36726">
        <w:rPr>
          <w:rFonts w:ascii="楷体_GB2312" w:eastAsia="楷体_GB2312" w:hAnsi="楷体_GB2312" w:cs="楷体_GB2312" w:hint="eastAsia"/>
          <w:sz w:val="32"/>
          <w:szCs w:val="32"/>
        </w:rPr>
        <w:t>8</w:t>
      </w:r>
    </w:p>
    <w:p w:rsidR="001F64D4" w:rsidRDefault="00154BED">
      <w:pPr>
        <w:pStyle w:val="WPSOffice2"/>
        <w:tabs>
          <w:tab w:val="right" w:leader="dot" w:pos="8845"/>
        </w:tabs>
        <w:spacing w:line="580" w:lineRule="exact"/>
        <w:ind w:left="480"/>
        <w:rPr>
          <w:rFonts w:ascii="黑体" w:eastAsia="楷体_GB2312" w:hAnsi="黑体" w:cs="黑体"/>
          <w:sz w:val="32"/>
          <w:szCs w:val="32"/>
        </w:rPr>
      </w:pPr>
      <w:hyperlink w:anchor="_Toc30494_WPSOffice_Level2" w:history="1">
        <w:r w:rsidR="00E36726">
          <w:rPr>
            <w:rStyle w:val="a3"/>
            <w:rFonts w:ascii="楷体_GB2312" w:eastAsia="楷体_GB2312" w:hAnsi="楷体_GB2312" w:cs="楷体_GB2312" w:hint="eastAsia"/>
            <w:color w:val="auto"/>
            <w:sz w:val="32"/>
            <w:szCs w:val="32"/>
            <w:u w:val="none"/>
          </w:rPr>
          <w:t>（十二）国有资产占有情况说明</w:t>
        </w:r>
        <w:r w:rsidR="00E36726">
          <w:rPr>
            <w:rStyle w:val="a3"/>
            <w:rFonts w:ascii="楷体_GB2312" w:eastAsia="楷体_GB2312" w:hAnsi="楷体_GB2312" w:cs="楷体_GB2312" w:hint="eastAsia"/>
            <w:color w:val="auto"/>
            <w:sz w:val="32"/>
            <w:szCs w:val="32"/>
            <w:u w:val="none"/>
          </w:rPr>
          <w:tab/>
        </w:r>
      </w:hyperlink>
      <w:r w:rsidR="00E36726">
        <w:rPr>
          <w:rFonts w:ascii="楷体_GB2312" w:eastAsia="楷体_GB2312" w:hAnsi="楷体_GB2312" w:cs="楷体_GB2312" w:hint="eastAsia"/>
          <w:sz w:val="32"/>
          <w:szCs w:val="32"/>
        </w:rPr>
        <w:t>8</w:t>
      </w:r>
    </w:p>
    <w:p w:rsidR="001F64D4" w:rsidRDefault="00154BED">
      <w:pPr>
        <w:pStyle w:val="WPSOffice2"/>
        <w:tabs>
          <w:tab w:val="right" w:leader="dot" w:pos="8845"/>
        </w:tabs>
        <w:spacing w:line="580" w:lineRule="exact"/>
        <w:ind w:left="480"/>
        <w:rPr>
          <w:rFonts w:ascii="黑体" w:eastAsia="楷体_GB2312" w:hAnsi="黑体" w:cs="黑体"/>
          <w:sz w:val="32"/>
          <w:szCs w:val="32"/>
        </w:rPr>
      </w:pPr>
      <w:hyperlink w:anchor="_Toc30494_WPSOffice_Level2" w:history="1">
        <w:r w:rsidR="00E36726">
          <w:rPr>
            <w:rStyle w:val="a3"/>
            <w:rFonts w:ascii="楷体_GB2312" w:eastAsia="楷体_GB2312" w:hAnsi="楷体_GB2312" w:cs="楷体_GB2312" w:hint="eastAsia"/>
            <w:color w:val="auto"/>
            <w:sz w:val="32"/>
            <w:szCs w:val="32"/>
            <w:u w:val="none"/>
          </w:rPr>
          <w:t>（十三）预算绩效情况说明</w:t>
        </w:r>
        <w:r w:rsidR="00E36726">
          <w:rPr>
            <w:rStyle w:val="a3"/>
            <w:rFonts w:ascii="楷体_GB2312" w:eastAsia="楷体_GB2312" w:hAnsi="楷体_GB2312" w:cs="楷体_GB2312" w:hint="eastAsia"/>
            <w:color w:val="auto"/>
            <w:sz w:val="32"/>
            <w:szCs w:val="32"/>
            <w:u w:val="none"/>
          </w:rPr>
          <w:tab/>
        </w:r>
      </w:hyperlink>
      <w:r w:rsidR="00E36726">
        <w:rPr>
          <w:rFonts w:ascii="楷体_GB2312" w:eastAsia="楷体_GB2312" w:hAnsi="楷体_GB2312" w:cs="楷体_GB2312" w:hint="eastAsia"/>
          <w:sz w:val="32"/>
          <w:szCs w:val="32"/>
        </w:rPr>
        <w:t>9</w:t>
      </w:r>
    </w:p>
    <w:p w:rsidR="001F64D4" w:rsidRDefault="00154BED">
      <w:pPr>
        <w:pStyle w:val="WPSOffice1"/>
        <w:tabs>
          <w:tab w:val="right" w:leader="dot" w:pos="8845"/>
        </w:tabs>
        <w:spacing w:line="580" w:lineRule="exact"/>
        <w:rPr>
          <w:rFonts w:ascii="黑体" w:eastAsia="黑体" w:hAnsi="黑体" w:cs="黑体"/>
          <w:sz w:val="32"/>
          <w:szCs w:val="32"/>
        </w:rPr>
      </w:pPr>
      <w:hyperlink w:anchor="_Toc22842_WPSOffice_Level1" w:history="1">
        <w:r w:rsidR="00E36726">
          <w:rPr>
            <w:rStyle w:val="a3"/>
            <w:rFonts w:ascii="黑体" w:eastAsia="黑体" w:hAnsi="黑体" w:cs="黑体" w:hint="eastAsia"/>
            <w:color w:val="auto"/>
            <w:sz w:val="32"/>
            <w:szCs w:val="32"/>
            <w:u w:val="none"/>
          </w:rPr>
          <w:t>四、名词解释</w:t>
        </w:r>
        <w:r w:rsidR="00E36726">
          <w:rPr>
            <w:rStyle w:val="a3"/>
            <w:rFonts w:ascii="黑体" w:eastAsia="黑体" w:hAnsi="黑体" w:cs="黑体" w:hint="eastAsia"/>
            <w:color w:val="auto"/>
            <w:sz w:val="32"/>
            <w:szCs w:val="32"/>
            <w:u w:val="none"/>
          </w:rPr>
          <w:tab/>
        </w:r>
      </w:hyperlink>
      <w:r w:rsidR="00E36726">
        <w:rPr>
          <w:rFonts w:ascii="黑体" w:eastAsia="黑体" w:hAnsi="黑体" w:cs="黑体" w:hint="eastAsia"/>
          <w:sz w:val="32"/>
          <w:szCs w:val="32"/>
        </w:rPr>
        <w:t>11</w:t>
      </w:r>
    </w:p>
    <w:p w:rsidR="00CA068F" w:rsidRDefault="00CA068F">
      <w:pPr>
        <w:sectPr w:rsidR="00CA068F">
          <w:footerReference w:type="even" r:id="rId7"/>
          <w:footerReference w:type="first" r:id="rId8"/>
          <w:pgSz w:w="11907" w:h="16840"/>
          <w:pgMar w:top="1440" w:right="1797" w:bottom="1440" w:left="1797" w:header="851" w:footer="992" w:gutter="0"/>
          <w:pgNumType w:start="1"/>
          <w:cols w:space="425"/>
          <w:titlePg/>
          <w:docGrid w:type="lines" w:linePitch="312"/>
        </w:sectPr>
      </w:pPr>
    </w:p>
    <w:p w:rsidR="001F64D4" w:rsidRDefault="001F64D4"/>
    <w:p w:rsidR="001F64D4" w:rsidRDefault="00E36726">
      <w:pPr>
        <w:rPr>
          <w:rStyle w:val="a3"/>
          <w:rFonts w:ascii="黑体" w:eastAsia="黑体" w:hAnsi="黑体" w:cs="黑体"/>
          <w:color w:val="auto"/>
          <w:sz w:val="32"/>
          <w:szCs w:val="32"/>
          <w:u w:val="none"/>
        </w:rPr>
      </w:pPr>
      <w:r>
        <w:rPr>
          <w:rFonts w:asciiTheme="minorEastAsia" w:eastAsiaTheme="minorEastAsia" w:hAnsiTheme="minorEastAsia" w:hint="eastAsia"/>
          <w:b/>
          <w:sz w:val="32"/>
          <w:szCs w:val="32"/>
        </w:rPr>
        <w:t xml:space="preserve"> </w:t>
      </w:r>
      <w:r>
        <w:rPr>
          <w:rStyle w:val="a3"/>
          <w:rFonts w:ascii="黑体" w:eastAsia="黑体" w:hAnsi="黑体" w:cs="黑体" w:hint="eastAsia"/>
          <w:color w:val="auto"/>
          <w:u w:val="none"/>
        </w:rPr>
        <w:t xml:space="preserve">  </w:t>
      </w:r>
      <w:r>
        <w:rPr>
          <w:rStyle w:val="a3"/>
          <w:rFonts w:ascii="黑体" w:eastAsia="黑体" w:hAnsi="黑体" w:cs="黑体" w:hint="eastAsia"/>
          <w:color w:val="auto"/>
          <w:sz w:val="32"/>
          <w:szCs w:val="32"/>
          <w:u w:val="none"/>
        </w:rPr>
        <w:t xml:space="preserve"> 一、浙江革命烈士纪念馆基本情况</w:t>
      </w:r>
    </w:p>
    <w:p w:rsidR="001F64D4" w:rsidRDefault="00E36726">
      <w:pPr>
        <w:spacing w:line="520" w:lineRule="exact"/>
        <w:ind w:firstLineChars="196" w:firstLine="627"/>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(一）单位职责</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本馆主要职责是承担着向全省人民进行爱国主义和革命传统教育的重任。</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（1）贯彻执行中央和省有关烈士纪念设施保护管理的法律规章及有关制度规定，负责对馆区烈士纪念馆、纪念碑（亭）、烈士英名碑、纪念塑像等烈士纪念设施的保持修缮管理。</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（2）征集浙江党史、革命史具有长久保存价值的重要档案文献资料，开展各个历史时期浙江烈士史料和遗物的征集、整理、保管、研究和陈列展示工作。研究、编纂、出版相关书籍。</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u w:val="none"/>
        </w:rPr>
        <w:t xml:space="preserve">   （</w:t>
      </w:r>
      <w:r>
        <w:rPr>
          <w:rStyle w:val="a3"/>
          <w:rFonts w:asciiTheme="minorEastAsia" w:eastAsiaTheme="minorEastAsia" w:hAnsiTheme="minorEastAsia" w:cs="黑体" w:hint="eastAsia"/>
          <w:color w:val="auto"/>
          <w:sz w:val="32"/>
          <w:szCs w:val="32"/>
          <w:u w:val="none"/>
        </w:rPr>
        <w:t>3）提供讲解接待服务，组织烈士纪念活动，宣传烈士英雄事迹。</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（4）建设爱国主义教育、党员党性教育和党史教育等教育基地。</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（5）开展烈士纪念工作信息化建设。</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（6）承担全省烈士纪念设施保护单位的业务指导和服务。</w:t>
      </w:r>
    </w:p>
    <w:p w:rsidR="001F64D4" w:rsidRDefault="00E36726">
      <w:pPr>
        <w:rPr>
          <w:rStyle w:val="a3"/>
          <w:rFonts w:ascii="黑体" w:eastAsia="黑体" w:hAnsi="黑体"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（7）完成浙江省退役军人事务厅交办的其他任务。</w:t>
      </w:r>
    </w:p>
    <w:p w:rsidR="001F64D4" w:rsidRDefault="001F64D4">
      <w:pPr>
        <w:rPr>
          <w:rStyle w:val="a3"/>
          <w:rFonts w:ascii="黑体" w:eastAsia="黑体" w:hAnsi="黑体" w:cs="黑体"/>
          <w:color w:val="auto"/>
          <w:sz w:val="32"/>
          <w:szCs w:val="32"/>
          <w:u w:val="none"/>
        </w:rPr>
      </w:pPr>
    </w:p>
    <w:p w:rsidR="001F64D4" w:rsidRDefault="001F64D4">
      <w:pPr>
        <w:rPr>
          <w:rStyle w:val="a3"/>
          <w:rFonts w:ascii="黑体" w:eastAsia="黑体" w:hAnsi="黑体" w:cs="黑体"/>
          <w:color w:val="auto"/>
          <w:sz w:val="32"/>
          <w:szCs w:val="32"/>
          <w:u w:val="none"/>
        </w:rPr>
      </w:pPr>
    </w:p>
    <w:p w:rsidR="001F64D4" w:rsidRDefault="00E36726">
      <w:pPr>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lastRenderedPageBreak/>
        <w:t xml:space="preserve">    （二）机构设置</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浙江革命烈士纪念馆是隶属于浙江省退役军人事务厅的公益一类事业单位，纳入浙江退役军人事务厅2020年度部门决算编制范围的二级预算单位。</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浙江革命烈士纪念馆内设：人秘科、财务科、宣传科、史料科、后保科、园林科。</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二、2020年度部门（单位）决算公开表</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详见附表。</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三、2020年度部门（单位）决算情况说明</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（一）收入支出决算总体情况说明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2020年度收入总计1,412.20万元，支出总计1,412.20万元,与2019年度相比，各增加8.17万元，增长0.58%。主要原因是支出中包含了上年结转资金支出。</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（二）收入决算情况说明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本年收入合计1,330.96万元；包括财政拨款收入1,326.10万元（其中，一般公共预算1,326.10万元，政府性基金预算0万元,国有资本经营预算0万元），占收入合计99.63%；上级补助收入0万元，占收入合计0%；事业收入0万元，占收入合计0%；经营收入0万元，占收入合计0%；附属单位上缴收入0万元，占收入合计0%；其他收入4.87万元，占收入合计0.37%。</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（三）支出决算情况说明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本年支出合计1,379.23万元，其中基本支出1,190.94万元，占86.35%；项目支出188.29万元，占13.65%；上缴上级支出0万元，占0%；经营支出0万元，占0%；对附属单位补助支出0万元，占0%。</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（四）财政拨款收入支出决算总体情况说明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财政拨款收入总计1,406.53万元，支出总计1,406.53万元，与2019年相比，各增加11.51万元，增长0.82%。主要原因是人员支出经费增加；财政拨款支出年初预算数1280.51万元，完成年初预算的109.84%，主要原因是人员支出经费增加。</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（五）一般公共预算财政拨款支出决算情况说明</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1.一般公共预算财政拨款支出决算总体情况。</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2020年度一般公共预算财政拨款支出1379.09万元，占本年支出合计的99.99%。与2019年相比，一般公共预算财政拨款支出增加81.76万元，增长6.30%。主要原因是人员支出经费增加。</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2.一般公共预算财政拨款支出决算结构情况。</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2020年度一般公共预算财政拨款支出1,379.09万元，主要用于以下方面：社会保障和就业（类）支出1,234.48万元,占89.51%；卫生健康（类）支出24.50万元,占1.78%；住房保障（类）支出120.11万元,占8.71%。</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3.一般公共预算财政拨款支出决算具体情况。</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2020年度一般公共预算财政拨款支出年初预算为1280.51万元，支出决算为1,379.09万元,完成年初预算的107.70%，主要原因是</w:t>
      </w:r>
      <w:r w:rsidR="00E62B00">
        <w:rPr>
          <w:rStyle w:val="a3"/>
          <w:rFonts w:asciiTheme="minorEastAsia" w:eastAsiaTheme="minorEastAsia" w:hAnsiTheme="minorEastAsia" w:cs="黑体" w:hint="eastAsia"/>
          <w:color w:val="auto"/>
          <w:sz w:val="32"/>
          <w:szCs w:val="32"/>
          <w:u w:val="none"/>
        </w:rPr>
        <w:t>上年结转资金在当年支出</w:t>
      </w:r>
      <w:r>
        <w:rPr>
          <w:rStyle w:val="a3"/>
          <w:rFonts w:asciiTheme="minorEastAsia" w:eastAsiaTheme="minorEastAsia" w:hAnsiTheme="minorEastAsia" w:cs="黑体" w:hint="eastAsia"/>
          <w:color w:val="auto"/>
          <w:sz w:val="32"/>
          <w:szCs w:val="32"/>
          <w:u w:val="none"/>
        </w:rPr>
        <w:t>。其中：</w:t>
      </w:r>
    </w:p>
    <w:p w:rsidR="001F64D4" w:rsidRDefault="00E36726">
      <w:pPr>
        <w:spacing w:line="580" w:lineRule="exact"/>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1）社会保障和就业支出（类）行政事业单位养老支出（款）机关事业单位基本养老保险缴费支出（项）。年初预算为51.93万元，支出决算为49.67万元，完成年初预算的95.65%，决算数小于预算数的主要原因有职工退休减少了事业单位基本养老保险缴费。</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社会保障和就业支出（类）行政事业单位养老支出（款）机关事业单位职业年金缴费支出（项）。年初预算为25.96万元，支出决算为24.83万元，完成年初预算的95.65%，决算数小于预算数的主要原因有职工退休减少了事业单位职业年金缴费。</w:t>
      </w:r>
    </w:p>
    <w:p w:rsidR="001F64D4" w:rsidRDefault="00E36726">
      <w:pPr>
        <w:ind w:firstLineChars="100" w:firstLine="32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（3）社会保障和就业支出（类）抚恤（款）优抚事业单位支出（项）。年初预算为175.07万元，支出决算为188.87万元，完成年初预算的107.88%，决算数大于预算数的主要原因上年结转资金在当年支出。</w:t>
      </w:r>
    </w:p>
    <w:p w:rsidR="001F64D4" w:rsidRDefault="00E36726">
      <w:pPr>
        <w:ind w:firstLineChars="100" w:firstLine="32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（4）社会保障和就业支出（类）退役军人管理事务（款）事业运行（项）。年初预算为994.30万元，支出决算为971.11万元，完成年初预算的97.67%，决算数小于预算数的主要原因年中根据财政要求进行了预算压减。</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 xml:space="preserve">     （5）卫生健康支出（类）行政事业单位医疗（款）事业单位医疗（项）。年初预算为23.82万元，支出决算为24.50万元，完成年初预算的102.85%，决算数大于预算数的主要原因上年结转资金在当年支出。</w:t>
      </w:r>
    </w:p>
    <w:p w:rsidR="001F64D4" w:rsidRDefault="00E36726">
      <w:pPr>
        <w:ind w:firstLineChars="100" w:firstLine="32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（6）住房保障支出（类）住房改革支出（款）住房公积金（项）。年初预算为109.93万元，支出决算为120.11万元，完成年初预算的109.26%，决算数大于预算数的主要原因新职工购房补贴增加。</w:t>
      </w:r>
    </w:p>
    <w:p w:rsidR="001F64D4" w:rsidRDefault="00E36726">
      <w:pPr>
        <w:spacing w:line="600" w:lineRule="atLeast"/>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 xml:space="preserve">     （六）一般公共预算财政拨款基本支出决算情况说明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2020年度一般公共预算财政拨款基本支出1,190.80万元，其中：</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人员经费864.90万元，主要包括：基本工资、津贴补贴、绩效工资、机关事业单位基本养老保险缴费、职业年金缴费、职工基本医疗保险缴费、公务员医疗补助缴费、其他社会保障缴费、住房公积金、医疗费、其他工资福利支出、抚恤金、生活补助、医疗费补助、奖励金、其他对个人和家庭的补助。</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Theme="minorEastAsia" w:eastAsiaTheme="minorEastAsia" w:hAnsiTheme="minorEastAsia" w:cs="黑体" w:hint="eastAsia"/>
          <w:color w:val="auto"/>
          <w:sz w:val="32"/>
          <w:szCs w:val="32"/>
          <w:u w:val="none"/>
        </w:rPr>
        <w:t>公用经费325.91万元，主要包括：办公费、手续费、水费、电费、邮电费、物业管理费、差旅费、维修（护）费、培训费、公务接待费、劳务费、工会经费、福利费、公务用车运行维护费、其他商品和服务支出、办公设备购置。</w:t>
      </w:r>
    </w:p>
    <w:p w:rsidR="001F64D4" w:rsidRDefault="00E36726">
      <w:pPr>
        <w:spacing w:line="600" w:lineRule="atLeast"/>
        <w:ind w:firstLineChars="147" w:firstLine="47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lastRenderedPageBreak/>
        <w:t>（七）政府性基金预算财政拨款支出决算总体情况</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浙江革命烈士纪念馆2020年度无政府性基金预算财政拨款收支安排，故无相关数据。</w:t>
      </w:r>
    </w:p>
    <w:p w:rsidR="001F64D4" w:rsidRDefault="00E36726">
      <w:pPr>
        <w:spacing w:line="600" w:lineRule="atLeast"/>
        <w:ind w:firstLineChars="147" w:firstLine="47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 xml:space="preserve">（八）国有资本经营预算财政拨款支出决算总体情况   </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浙江革命烈士纪念馆2020年度无国有资本经营预算财政拨款收支安排，故无相关数据。</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（九）一般公共预算财政拨款“三公”经费支出决算情况说明</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 xml:space="preserve">1.“三公”经费一般公共预算财政拨款支出决算总体情况说明。 </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三公”经费一般公共预算财政拨款支出预算为8.34万元，支出决算为4.04万元，完成预算的48.44%,2020年度“三公”经费支出决算数小于预算数的主要原因是因新冠病毒疫情影响公务用车使用减少公务用车运行维护费减少。</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2.“三公”经费一般公共预算财政拨款支出决算具体情况说明。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三公”经费一般公共预算财政拨款支出决算中，因公出国（境）费用支出决算为0万元，占0%，与2019年度相比，无增减；公务用车购置及运行维护费支出决算为3.70万元，占91.59%，与2019年度相比，增加0.26万元，增长7.46%，主要原因是车辆返修率高进行维</w:t>
      </w:r>
      <w:r>
        <w:rPr>
          <w:rStyle w:val="a3"/>
          <w:rFonts w:asciiTheme="minorEastAsia" w:eastAsiaTheme="minorEastAsia" w:hAnsiTheme="minorEastAsia" w:cs="黑体" w:hint="eastAsia"/>
          <w:color w:val="auto"/>
          <w:sz w:val="32"/>
          <w:szCs w:val="32"/>
          <w:u w:val="none"/>
        </w:rPr>
        <w:lastRenderedPageBreak/>
        <w:t>修；公务接待费支出决算为0.34万元，占8.41%，与2019年度相比，减少0.01万元，下降4.17%，主要原因是按规定压减了支出预算。具体情况如下：</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（1）因公出国（境）费预算数为0万元，支出决算为0万元。完成预算的0%。全年使用一般公共预算财政拨款支出涉及因公出国(境)团组0个；累计0人次。</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（2）公务用车购置及运行维护费预算数为8万元，支出决算为3.70万元，完成预算的46.25%。决算数小于预算数的主要原因是因新冠病毒疫情影响公务用车使用减少公务用车运行维护费减少。</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公务用车购置预算数为0万元，支出决算为0万元（含购置税等附加费用）。主要当年没有经批准购置的公务用车；公务用车运行维护费预算数为8万元，支出3.70万元，完成预算的46.25%。决算数小于预算数的主要原因是加强公务用车管理，厉行节约，严格控制公务运行，从而节约了相关费用。主要用于公务用车燃料费、维修费、过路过桥费、保险费等支出；2020年度，本单位开支一般公共预算财政拨款的公务用车保有量为2辆。</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（3）公务接待费预算数为0.34万元，支出决算为0.34万元，完成预算的100%。主要用于开展业务接待按规定开支的各类公务接待，完成预算目标。全年使用一般公共预算财政拨款国内公务接待4团组，累计33人次。</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外宾接待支出0万元，接待0团组，0人次。</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其他国内公务接待支出0.34万元，主要用于兄弟省份、省内基层县（市、区）政府单位来杭的公务联系用餐支出。接待4团组，33人次。</w:t>
      </w:r>
    </w:p>
    <w:p w:rsidR="001F64D4" w:rsidRDefault="00E36726">
      <w:pPr>
        <w:spacing w:line="600" w:lineRule="atLeast"/>
        <w:ind w:left="1" w:firstLineChars="149" w:firstLine="477"/>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（十）机关运行经费支出说明</w:t>
      </w:r>
    </w:p>
    <w:p w:rsidR="001F64D4" w:rsidRDefault="00E36726">
      <w:pPr>
        <w:spacing w:line="600" w:lineRule="atLeast"/>
        <w:ind w:left="1" w:firstLineChars="149" w:firstLine="477"/>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2020年度机关运行经费年初预算数为0万元，支出决算为0万元。完成预算的0%。</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（十一）政府采购支出说明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2020年度政府采购支出总额249.82万元，其中：政府采购货物支出114.36万元、政府采购工程支出0万元、政府采购服务支出135.46万元。授予中小企业合同金额246.59万元，占政府采购支出总额的98.71%。其中，授予小微企业合同金额241.63万元，占政府采购支出总额的96.72%。</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（十二）国有资产占有情况说明</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截至2020年12月31日，浙江革命烈士纪念馆共有车辆2辆，其中，副部（省）级及以上领导用车0辆、主要领导干部用车0辆、机要通信用车0辆、应急保障用车0辆、执法执勤用车0辆、特种专业技术用车0辆、离退休干部用车0辆、其他用车2辆，其他用车主要用于公务接待；单价50万元以上通用设备0台（套），单价100万元以上专用设备0台（套）。 </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lastRenderedPageBreak/>
        <w:t>（十三）预算绩效情况说明</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 xml:space="preserve">1.预算绩效管理工作开展情况。 </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根据预算绩效管理要求，浙江省退役军人事务厅组织对浙江革命烈士纪念馆2020年度一般公共预算项目支出全面开展绩效自评，其中，一级项目1个，二级项目4个，共涉及资金164.50万元，占一般公共预算项目支出总额的100%。本年无政府性基金预算项目。 </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组织对“主馆内监控设施维修改造项目”“宣教和史料编研项目”2个项目开展了部门评价，涉及一般公共预算支出115.37万元，政府性基金预算支出0万元。其中，对“主馆内监控设施维修改造项目”“宣教和史料编研项目”等项目分别委托“浙江普华会计师事务所有限公司”第三方机构开展绩效评价。从评价情况来看,2个项目绩效评价结果为优。</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本年无单位整体支出绩效评价。</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本年无下属部门或单位整体支出绩效评价。</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2.单位决算中项目绩效自评结果</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浙江革命烈士纪念馆在2020年度单位决算中反映“宣教和史料编研维护”项目及“主馆内监控设施维修改造”项目绩效自评结果。  </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“宣教和史料编研维护”项目绩效自评综述：根据年初设定的绩效目标，项目自评得分91分，自评结论为</w:t>
      </w:r>
      <w:r>
        <w:rPr>
          <w:rStyle w:val="a3"/>
          <w:rFonts w:asciiTheme="minorEastAsia" w:eastAsiaTheme="minorEastAsia" w:hAnsiTheme="minorEastAsia" w:cs="黑体" w:hint="eastAsia"/>
          <w:color w:val="auto"/>
          <w:sz w:val="32"/>
          <w:szCs w:val="32"/>
          <w:u w:val="none"/>
        </w:rPr>
        <w:lastRenderedPageBreak/>
        <w:t>“优”。项目全年预算数为63.15万元，执行数为61.35万元，完成预算的97.15%。项目绩效目标完成情况：一是产出指标：讲解接待6000批次，12个主题社会教育活动，每年举办2个临时展览，年观众量达到20万人次，基本完成；二是效益指标和满意度指标：以烈士精神激励大众，为实现中国梦提供精神动力，公众满意度有所提高，已完成。发现的问题及原因：一是绩效目标设定的绩效指标不够清晰问题；二是实际实施内容与《项目申报书》内容存在差异资金未专款专用问题。下一步改进措施：一是针对审计指出的宣教和史料编研维护项目应设定清晰绩效目标，并严格按照规定完成相应绩效指标问题。今后将更细致化设定清晰的项目绩效目标,将各项工作计划进行细化，设定清晰的绩效指标；二是正常情况下项目实际实施内容与《项目申报书》内容一致，资金做到专款专用。2020年因突发新冠病毒传染疫情，浙江革命烈士纪念馆作为公共场所，严格按照中央、省、市以及主管部门等关于疫情期间博物馆场馆类防控要求，将项目申报书中计划举办2个临时展览改成了对基本展陈中土地革命战争时期展览进行提升改造。</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“主馆内监控设施维修改造”项目绩效自评综述：根据年初设定的绩效目标，项目自评得分93分，自评结论为“优”。项目全年预算数为52.22万元，执行数为51.95</w:t>
      </w:r>
      <w:r>
        <w:rPr>
          <w:rStyle w:val="a3"/>
          <w:rFonts w:asciiTheme="minorEastAsia" w:eastAsiaTheme="minorEastAsia" w:hAnsiTheme="minorEastAsia" w:cs="黑体" w:hint="eastAsia"/>
          <w:color w:val="auto"/>
          <w:sz w:val="32"/>
          <w:szCs w:val="32"/>
          <w:u w:val="none"/>
        </w:rPr>
        <w:lastRenderedPageBreak/>
        <w:t>万元，完成预算的99.48%。项目绩效目标完成情况：一是改造主馆内监控设施，已完成；二是投资完成率达到95%，已完成。发现的问题及原因：一是绩效目标设定的绩效指标不够清晰问题；二是实际实施内容与《项目申报书》内容存在差异资金未专款专用问题。下一步改进措施：一是针对审计指出的宣教和史料编研维护项目应设定清晰绩效目标，并严格按照规定完成相应绩效指标问题。今后将更细致化设定清晰的项目绩效目标,将各项工作计划进行细化，设定清晰的绩效指标；二是正常情况下项目实际实施内容与《项目申报书》内容一致，资金做到专款专用。2020年因突发新冠病毒传染疫情，浙江革命烈士纪念馆作为公共场所，严格按照中央、省、市以及主管部门等关于疫情期间博物馆场馆类防控要求，将项目申报书中计划制作临时展览1-2个改成了对基本展陈中土地革命战争时期展览进行提升改造。</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3.财政评价项目绩效评价结果 “无”。</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4.部门评价项目绩效评价结果 。2个项目绩效评价结果为优。</w:t>
      </w:r>
    </w:p>
    <w:p w:rsidR="001F64D4" w:rsidRDefault="00E36726">
      <w:pPr>
        <w:spacing w:line="600" w:lineRule="atLeast"/>
        <w:ind w:firstLine="640"/>
        <w:jc w:val="both"/>
        <w:rPr>
          <w:rStyle w:val="a3"/>
          <w:rFonts w:ascii="黑体" w:eastAsia="黑体" w:hAnsi="黑体" w:cs="黑体"/>
          <w:color w:val="auto"/>
          <w:sz w:val="32"/>
          <w:szCs w:val="32"/>
          <w:u w:val="none"/>
        </w:rPr>
      </w:pPr>
      <w:r>
        <w:rPr>
          <w:rStyle w:val="a3"/>
          <w:rFonts w:ascii="黑体" w:eastAsia="黑体" w:hAnsi="黑体" w:cs="黑体" w:hint="eastAsia"/>
          <w:color w:val="auto"/>
          <w:sz w:val="32"/>
          <w:szCs w:val="32"/>
          <w:u w:val="none"/>
        </w:rPr>
        <w:t>四、名词解释</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1.财政拨款收入：指本级财政部门当年拨付的财政预算资金，包括一般公共预算财政拨款、政府性基金预算财政拨款和国有资本经预算财政拨款。</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2.事业收入：指事业单位开展专业业务活动及辅助活动所取得的收入。</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3.经营收入：指事业单位在专业业务活动及辅助活动之外开展非独立核算经营活动取得的收入。</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4.上级补助收入：指事业单位从主管部门和上级单位取得的非财政补助收入。</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5.附属单位上缴收入：指事业单位附属独立核算单位按照有关规定上缴的收入。</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6.其他收入：指预算单位在“财政拨款”、“事业收入”、“经营收入”、“上级补助收入”、“附属单位上缴收入”等之外取得的各项收入。</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7.使用非财政拨款结余：指事业单位使用以前年度积累的非财政拨款结余弥补当年收支差额的金额。</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8.年初结转和结余：指预算单位以前年度尚未完成、结转到本年仍按原规定用途继续使用的资金。</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9.年末结转和结余：指单位按有关规定结转到下年或以后年度继续使用的资金。</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10.基本支出：指预算单位为保障其正常运转，完成日常工作任务所发生的支出，包括人员经费支出和日常公用经费支出。</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11.项目支出：指预算单位为完成其特定的行政工作任务或事业发展目标所发生的支出。</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12.上缴上级支出：填列事业单位按照财政部门和主管部门的规定上缴上级单位的支出。</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13.经营支出：指事业单位在专业业务活动及其辅助活动之外开展非独立核算经营活动发生的支出。</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14.附属单位补助支出：填列事业单位用财政补助收入之外的收入对附属单位补助发生的支出。</w:t>
      </w:r>
    </w:p>
    <w:p w:rsidR="001F64D4"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17.社会保障和就业支出（类）行政事业单位养老支出（款）事业单位离退休（项）：指事业单位开支的离退休经费。</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18.社会保障和就业支出（类）行政事业单位养老支出（款）机关事业单位基本养老保险缴费支出（项）：指机关事业单位实施养老保险制度由单位缴纳的基本养老保险费支出。</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19.社会保障和就业支出（类）行政事业单位养老支出（款）机关事业单位职业年金缴费支出（项）：指机关事业单位实施养老保险制度由单位实际缴纳的职业年金支出。</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20.社会保障和就业支出（类）抚恤（款）伤残抚恤（项）：指按规定用于伤残人员的抚恤金和按规定开支的伤残补助费。</w:t>
      </w:r>
    </w:p>
    <w:p w:rsidR="001F64D4" w:rsidRDefault="00E36726">
      <w:pPr>
        <w:pStyle w:val="Default"/>
        <w:spacing w:line="580" w:lineRule="exact"/>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21.社会保障和就业支出（类）抚恤（款）优抚事业单位支出（项），指的是对集体优抚事业单位的补助，对烈士纪念设施的维修改造和管理保护支出，以及全国重点军供站设施维修改造和设备更新支出。</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22.社会保障和就业支出（类）抚恤（款）其他优抚支出（项），指除死亡抚恤、伤残抚恤、在乡复员、退伍军人生活补助、优抚事业单位支出、义务兵优待、农村籍退役士兵老年生活补助以外的其他用于优抚方面的支出。</w:t>
      </w:r>
    </w:p>
    <w:p w:rsidR="001F64D4" w:rsidRDefault="00A926B7">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 xml:space="preserve">    </w:t>
      </w:r>
      <w:r w:rsidR="00E36726">
        <w:rPr>
          <w:rStyle w:val="a3"/>
          <w:rFonts w:asciiTheme="minorEastAsia" w:eastAsiaTheme="minorEastAsia" w:hAnsiTheme="minorEastAsia" w:cs="黑体" w:hint="eastAsia"/>
          <w:color w:val="auto"/>
          <w:sz w:val="32"/>
          <w:szCs w:val="32"/>
          <w:u w:val="none"/>
        </w:rPr>
        <w:t>23.社会保障和就业支出（类）退役军人管理事务（款）行政运行（项）：指行政单位（包括实行公务员管理的事业单位）的基本支出。</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24.社会保障和就业支出（类）退役军人管理事务（款）一般行政管理事务（项）：指行政单位（包括实行公务员管理的事业单位）未单独设置项级科目的其他项目支出。</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25.社会保障和就业支出（类）退役军人管理事务（款）拥军优属（项）：指开展拥军优属活动的支出。</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26.社会保障和就业支出（类）退役军人管理事务（款）部队供应（项），指军供站（兵站）等用于保障军队运输和饮食供应的支出。</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27.社会保障和就业支出（类）退役军人管理事务（款）事业运行（项）：指事业单位的基本支出，不包括行政单位（包括公务员管理的事业单位）后勤服务中心、医疗室等附属事业单位。</w:t>
      </w:r>
    </w:p>
    <w:p w:rsidR="001F64D4" w:rsidRDefault="00E36726">
      <w:pPr>
        <w:pStyle w:val="Default"/>
        <w:spacing w:line="580" w:lineRule="exact"/>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28.社会保障和就业支出（类）退役军人管理事务（款）其他退役军人事务管理支出（项）：指除行政运行、一般行政管理事务、机关服务、拥军优属、部队供应、事业运行项目以外其他用于退役军人事务管理方面的支出。</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29.卫生健康支出（类）行政事业单位医疗（款）行政单位医疗（项）：指财政部门安排的行政单位（包括实行公务员管理的事业单位）基本医疗保险缴费经费，按国家规定享受离休人员、红军老战士待遇人员的医疗经费。</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lastRenderedPageBreak/>
        <w:t>30.卫生健康支出（类）行政事业单位医疗（款）事业单位医疗（项）：指财政部门安排的事业单位基本医疗保险缴费经费，未参加医疗保险的事业单位的公费医疗经费，按国家规定享受离休人员待遇的医疗经费。</w:t>
      </w:r>
    </w:p>
    <w:p w:rsidR="001F64D4" w:rsidRDefault="00E36726">
      <w:pPr>
        <w:pStyle w:val="Default"/>
        <w:spacing w:line="580" w:lineRule="exact"/>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31.卫生健康支出（类）其他卫生健康支出（款）其他卫生健康支出（项），指的是除卫生健康管理事务、公立医院、公共卫生等项目以外其他用于卫生健康方面的支出。</w:t>
      </w:r>
    </w:p>
    <w:p w:rsidR="001F64D4" w:rsidRDefault="00E36726">
      <w:pPr>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 xml:space="preserve">   32.住房保障支出（类）住房改革支出（款）住房公积金（项）：指行政事业单位按人力资源和社会保障部、财政部规定的基本工资和津贴补贴以及规定比例为职工缴纳的住房公积金。</w:t>
      </w:r>
    </w:p>
    <w:p w:rsidR="001F64D4" w:rsidRDefault="00E36726">
      <w:pPr>
        <w:pStyle w:val="Default"/>
        <w:spacing w:line="580" w:lineRule="exact"/>
        <w:ind w:firstLineChars="200" w:firstLine="640"/>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33.住房保障支出（类）住房改革支出（款）购房补贴（项）：指按房改政策规定, 行政事业单位向符合条件职工(含离退休人员)、军队（含武警）向转役复员离退休人员发放的用于购买住房的补贴。</w:t>
      </w:r>
    </w:p>
    <w:p w:rsidR="00E40755" w:rsidRDefault="00E36726">
      <w:pPr>
        <w:spacing w:line="600" w:lineRule="atLeast"/>
        <w:ind w:firstLine="640"/>
        <w:jc w:val="both"/>
        <w:rPr>
          <w:rStyle w:val="a3"/>
          <w:rFonts w:asciiTheme="minorEastAsia" w:eastAsiaTheme="minorEastAsia" w:hAnsiTheme="minorEastAsia" w:cs="黑体"/>
          <w:color w:val="auto"/>
          <w:sz w:val="32"/>
          <w:szCs w:val="32"/>
          <w:u w:val="none"/>
        </w:rPr>
      </w:pPr>
      <w:r>
        <w:rPr>
          <w:rStyle w:val="a3"/>
          <w:rFonts w:asciiTheme="minorEastAsia" w:eastAsiaTheme="minorEastAsia" w:hAnsiTheme="minorEastAsia" w:cs="黑体" w:hint="eastAsia"/>
          <w:color w:val="auto"/>
          <w:sz w:val="32"/>
          <w:szCs w:val="32"/>
          <w:u w:val="none"/>
        </w:rPr>
        <w:t>34.其他支出（类）彩票公益金安排的支出（款）用于社会福利的彩票公益金支出（项）：指用于社会福利和社会救助的彩票公益金支出。</w:t>
      </w:r>
    </w:p>
    <w:p w:rsidR="00E40755" w:rsidRDefault="00E40755">
      <w:pPr>
        <w:rPr>
          <w:rStyle w:val="a3"/>
          <w:rFonts w:asciiTheme="minorEastAsia" w:eastAsiaTheme="minorEastAsia" w:hAnsiTheme="minorEastAsia" w:cs="黑体"/>
          <w:color w:val="auto"/>
          <w:sz w:val="32"/>
          <w:szCs w:val="32"/>
          <w:u w:val="none"/>
        </w:rPr>
      </w:pPr>
    </w:p>
    <w:p w:rsidR="00E40755" w:rsidRDefault="00E40755">
      <w:pPr>
        <w:rPr>
          <w:rStyle w:val="a3"/>
          <w:rFonts w:asciiTheme="minorEastAsia" w:eastAsiaTheme="minorEastAsia" w:hAnsiTheme="minorEastAsia" w:cs="黑体"/>
          <w:color w:val="auto"/>
          <w:sz w:val="32"/>
          <w:szCs w:val="32"/>
          <w:u w:val="none"/>
        </w:rPr>
      </w:pPr>
    </w:p>
    <w:p w:rsidR="00E40755" w:rsidRDefault="00E40755">
      <w:pPr>
        <w:rPr>
          <w:rStyle w:val="a3"/>
          <w:rFonts w:asciiTheme="minorEastAsia" w:eastAsiaTheme="minorEastAsia" w:hAnsiTheme="minorEastAsia" w:cs="黑体"/>
          <w:color w:val="auto"/>
          <w:sz w:val="32"/>
          <w:szCs w:val="32"/>
          <w:u w:val="none"/>
        </w:rPr>
      </w:pPr>
    </w:p>
    <w:p w:rsidR="00E40755" w:rsidRDefault="00E40755">
      <w:pPr>
        <w:rPr>
          <w:rStyle w:val="a3"/>
          <w:rFonts w:asciiTheme="minorEastAsia" w:eastAsiaTheme="minorEastAsia" w:hAnsiTheme="minorEastAsia" w:cs="黑体"/>
          <w:color w:val="auto"/>
          <w:sz w:val="32"/>
          <w:szCs w:val="32"/>
          <w:u w:val="none"/>
        </w:rPr>
      </w:pPr>
    </w:p>
    <w:p w:rsidR="00E40755" w:rsidRDefault="00E40755">
      <w:pPr>
        <w:rPr>
          <w:rStyle w:val="a3"/>
          <w:rFonts w:asciiTheme="minorEastAsia" w:eastAsiaTheme="minorEastAsia" w:hAnsiTheme="minorEastAsia" w:cs="黑体"/>
          <w:color w:val="auto"/>
          <w:sz w:val="32"/>
          <w:szCs w:val="32"/>
          <w:u w:val="none"/>
        </w:rPr>
      </w:pPr>
    </w:p>
    <w:p w:rsidR="00E40755" w:rsidRDefault="00E40755">
      <w:pPr>
        <w:rPr>
          <w:rStyle w:val="a3"/>
          <w:rFonts w:asciiTheme="minorEastAsia" w:eastAsiaTheme="minorEastAsia" w:hAnsiTheme="minorEastAsia" w:cs="黑体"/>
          <w:color w:val="auto"/>
          <w:sz w:val="32"/>
          <w:szCs w:val="32"/>
          <w:u w:val="none"/>
        </w:rPr>
        <w:sectPr w:rsidR="00E40755">
          <w:footerReference w:type="default" r:id="rId9"/>
          <w:footerReference w:type="first" r:id="rId10"/>
          <w:pgSz w:w="11907" w:h="16840"/>
          <w:pgMar w:top="1440" w:right="1797" w:bottom="1440" w:left="1797" w:header="851" w:footer="992" w:gutter="0"/>
          <w:pgNumType w:start="1"/>
          <w:cols w:space="425"/>
          <w:titlePg/>
          <w:docGrid w:type="lines" w:linePitch="312"/>
        </w:sectPr>
      </w:pPr>
    </w:p>
    <w:p w:rsidR="00E40755" w:rsidRDefault="000701A8" w:rsidP="000701A8">
      <w:pPr>
        <w:jc w:val="center"/>
        <w:rPr>
          <w:rFonts w:ascii="黑体" w:eastAsia="黑体" w:hAnsi="黑体" w:cs="Arial"/>
          <w:sz w:val="30"/>
          <w:szCs w:val="30"/>
        </w:rPr>
      </w:pPr>
      <w:r w:rsidRPr="00276067">
        <w:rPr>
          <w:rFonts w:ascii="黑体" w:eastAsia="黑体" w:hAnsi="黑体" w:cs="Arial"/>
          <w:sz w:val="30"/>
          <w:szCs w:val="30"/>
        </w:rPr>
        <w:lastRenderedPageBreak/>
        <w:t>收入支出决算总表</w:t>
      </w:r>
    </w:p>
    <w:tbl>
      <w:tblPr>
        <w:tblW w:w="14080" w:type="dxa"/>
        <w:tblInd w:w="97" w:type="dxa"/>
        <w:tblLook w:val="04A0"/>
      </w:tblPr>
      <w:tblGrid>
        <w:gridCol w:w="3839"/>
        <w:gridCol w:w="361"/>
        <w:gridCol w:w="580"/>
        <w:gridCol w:w="2260"/>
        <w:gridCol w:w="4200"/>
        <w:gridCol w:w="580"/>
        <w:gridCol w:w="2260"/>
      </w:tblGrid>
      <w:tr w:rsidR="000701A8" w:rsidRPr="000701A8" w:rsidTr="000701A8">
        <w:trPr>
          <w:trHeight w:val="270"/>
        </w:trPr>
        <w:tc>
          <w:tcPr>
            <w:tcW w:w="4200" w:type="dxa"/>
            <w:gridSpan w:val="2"/>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80" w:type="dxa"/>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2260" w:type="dxa"/>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200" w:type="dxa"/>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80" w:type="dxa"/>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2260" w:type="dxa"/>
            <w:tcBorders>
              <w:top w:val="nil"/>
              <w:left w:val="nil"/>
              <w:bottom w:val="nil"/>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公开01表</w:t>
            </w:r>
          </w:p>
        </w:tc>
      </w:tr>
      <w:tr w:rsidR="000701A8" w:rsidRPr="000701A8" w:rsidTr="000701A8">
        <w:trPr>
          <w:trHeight w:val="270"/>
        </w:trPr>
        <w:tc>
          <w:tcPr>
            <w:tcW w:w="4200" w:type="dxa"/>
            <w:gridSpan w:val="2"/>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22"/>
                <w:szCs w:val="22"/>
              </w:rPr>
            </w:pPr>
            <w:r w:rsidRPr="000701A8">
              <w:rPr>
                <w:rFonts w:cs="Arial" w:hint="eastAsia"/>
                <w:sz w:val="22"/>
                <w:szCs w:val="22"/>
              </w:rPr>
              <w:t>部门：浙江革命烈士纪念馆</w:t>
            </w:r>
          </w:p>
        </w:tc>
        <w:tc>
          <w:tcPr>
            <w:tcW w:w="580" w:type="dxa"/>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2260" w:type="dxa"/>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4200" w:type="dxa"/>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80" w:type="dxa"/>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2260" w:type="dxa"/>
            <w:tcBorders>
              <w:top w:val="nil"/>
              <w:left w:val="nil"/>
              <w:bottom w:val="single" w:sz="4" w:space="0" w:color="808080"/>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金额单位：万元</w:t>
            </w:r>
          </w:p>
        </w:tc>
      </w:tr>
      <w:tr w:rsidR="000701A8" w:rsidRPr="000701A8" w:rsidTr="000701A8">
        <w:trPr>
          <w:trHeight w:val="300"/>
        </w:trPr>
        <w:tc>
          <w:tcPr>
            <w:tcW w:w="704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收入</w:t>
            </w:r>
          </w:p>
        </w:tc>
        <w:tc>
          <w:tcPr>
            <w:tcW w:w="7040" w:type="dxa"/>
            <w:gridSpan w:val="3"/>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支出</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项目</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金额</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金额</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栏次</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一、一般公共预算财政拨款收入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1,326.10</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二、政府性基金预算财政拨款收入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三、国有资本经营预算财政拨款收入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四、上级补助收入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五、事业收入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六、经营收入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七、附属单位上缴收入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7</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38</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八、其他收入</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39</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1,234.62</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40</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24.50</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41</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42</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43</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44</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十四、资源勘探工业信息等支出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45</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46</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47</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48</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0701A8">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49</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50</w:t>
            </w:r>
          </w:p>
        </w:tc>
        <w:tc>
          <w:tcPr>
            <w:tcW w:w="2260" w:type="dxa"/>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120.11</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lastRenderedPageBreak/>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20</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二十、粮油物资储备支出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51</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21</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二十一、国有资本经营预算支出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52</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22</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二十二、灾害防治及应急管理支出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53</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23</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二十三、其他支出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54</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24</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二十四、债务还本支出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55</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25</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二十五、债务付息支出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56</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26</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二十六、抗疫特别国债安排的支出</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57</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b/>
                <w:bCs/>
                <w:sz w:val="20"/>
                <w:szCs w:val="20"/>
              </w:rPr>
            </w:pPr>
            <w:r w:rsidRPr="000701A8">
              <w:rPr>
                <w:rFonts w:cs="Arial" w:hint="eastAsia"/>
                <w:b/>
                <w:bCs/>
                <w:sz w:val="20"/>
                <w:szCs w:val="20"/>
              </w:rPr>
              <w:t>本年收入合计</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27</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1,330.96</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b/>
                <w:bCs/>
                <w:sz w:val="20"/>
                <w:szCs w:val="20"/>
              </w:rPr>
            </w:pPr>
            <w:r w:rsidRPr="000701A8">
              <w:rPr>
                <w:rFonts w:cs="Arial" w:hint="eastAsia"/>
                <w:b/>
                <w:bCs/>
                <w:sz w:val="20"/>
                <w:szCs w:val="20"/>
              </w:rPr>
              <w:t>本年支出合计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58</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1,379.23</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使用非财政拨款结余</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28</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结余分配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59</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4.73</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年初结转和结余</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29</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81.24</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年末结转和结余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60</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28.25</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30</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61</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85752F">
        <w:trPr>
          <w:trHeight w:val="300"/>
        </w:trPr>
        <w:tc>
          <w:tcPr>
            <w:tcW w:w="38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b/>
                <w:bCs/>
                <w:sz w:val="20"/>
                <w:szCs w:val="20"/>
              </w:rPr>
            </w:pPr>
            <w:r w:rsidRPr="000701A8">
              <w:rPr>
                <w:rFonts w:cs="Arial" w:hint="eastAsia"/>
                <w:b/>
                <w:bCs/>
                <w:sz w:val="20"/>
                <w:szCs w:val="20"/>
              </w:rPr>
              <w:t>总计</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31</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1,412.20</w:t>
            </w:r>
          </w:p>
        </w:tc>
        <w:tc>
          <w:tcPr>
            <w:tcW w:w="4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b/>
                <w:bCs/>
                <w:sz w:val="20"/>
                <w:szCs w:val="20"/>
              </w:rPr>
            </w:pPr>
            <w:r w:rsidRPr="000701A8">
              <w:rPr>
                <w:rFonts w:cs="Arial" w:hint="eastAsia"/>
                <w:b/>
                <w:bCs/>
                <w:sz w:val="20"/>
                <w:szCs w:val="20"/>
              </w:rPr>
              <w:t>总计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62</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1,412.20</w:t>
            </w:r>
          </w:p>
        </w:tc>
      </w:tr>
      <w:tr w:rsidR="000701A8" w:rsidRPr="000701A8" w:rsidTr="000701A8">
        <w:trPr>
          <w:trHeight w:val="300"/>
        </w:trPr>
        <w:tc>
          <w:tcPr>
            <w:tcW w:w="14080" w:type="dxa"/>
            <w:gridSpan w:val="7"/>
            <w:tcBorders>
              <w:top w:val="nil"/>
              <w:left w:val="nil"/>
              <w:bottom w:val="nil"/>
              <w:right w:val="nil"/>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注：1.本表反映本年度的总收支和年末结转结余情况，本套报表金额单位转换时可能存在尾数误差。</w:t>
            </w:r>
          </w:p>
        </w:tc>
      </w:tr>
    </w:tbl>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Fonts w:ascii="黑体" w:eastAsia="黑体" w:hAnsi="黑体" w:cs="Arial"/>
          <w:sz w:val="30"/>
          <w:szCs w:val="30"/>
        </w:rPr>
      </w:pPr>
      <w:r w:rsidRPr="00276067">
        <w:rPr>
          <w:rFonts w:ascii="黑体" w:eastAsia="黑体" w:hAnsi="黑体" w:cs="Arial"/>
          <w:sz w:val="30"/>
          <w:szCs w:val="30"/>
        </w:rPr>
        <w:lastRenderedPageBreak/>
        <w:t>收入决算表（分单位）</w:t>
      </w:r>
    </w:p>
    <w:tbl>
      <w:tblPr>
        <w:tblW w:w="5000" w:type="pct"/>
        <w:tblLook w:val="04A0"/>
      </w:tblPr>
      <w:tblGrid>
        <w:gridCol w:w="3296"/>
        <w:gridCol w:w="1416"/>
        <w:gridCol w:w="1859"/>
        <w:gridCol w:w="1462"/>
        <w:gridCol w:w="1462"/>
        <w:gridCol w:w="1462"/>
        <w:gridCol w:w="1463"/>
        <w:gridCol w:w="1756"/>
      </w:tblGrid>
      <w:tr w:rsidR="000701A8" w:rsidRPr="000701A8" w:rsidTr="000701A8">
        <w:trPr>
          <w:trHeight w:val="270"/>
        </w:trPr>
        <w:tc>
          <w:tcPr>
            <w:tcW w:w="111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72"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68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4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4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4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4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545" w:type="pct"/>
            <w:tcBorders>
              <w:top w:val="nil"/>
              <w:left w:val="nil"/>
              <w:bottom w:val="nil"/>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公开02表</w:t>
            </w:r>
          </w:p>
        </w:tc>
      </w:tr>
      <w:tr w:rsidR="000701A8" w:rsidRPr="000701A8" w:rsidTr="000701A8">
        <w:trPr>
          <w:trHeight w:val="270"/>
        </w:trPr>
        <w:tc>
          <w:tcPr>
            <w:tcW w:w="111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22"/>
                <w:szCs w:val="22"/>
              </w:rPr>
            </w:pPr>
            <w:r w:rsidRPr="000701A8">
              <w:rPr>
                <w:rFonts w:cs="Arial" w:hint="eastAsia"/>
                <w:sz w:val="22"/>
                <w:szCs w:val="22"/>
              </w:rPr>
              <w:t>编制单位：浙江革命烈士纪念馆</w:t>
            </w:r>
          </w:p>
        </w:tc>
        <w:tc>
          <w:tcPr>
            <w:tcW w:w="472"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685"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45"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45"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45"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45"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545" w:type="pct"/>
            <w:tcBorders>
              <w:top w:val="nil"/>
              <w:left w:val="nil"/>
              <w:bottom w:val="single" w:sz="4" w:space="0" w:color="808080"/>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金额单位：万元</w:t>
            </w:r>
          </w:p>
        </w:tc>
      </w:tr>
      <w:tr w:rsidR="000701A8" w:rsidRPr="000701A8" w:rsidTr="000701A8">
        <w:trPr>
          <w:trHeight w:val="570"/>
        </w:trPr>
        <w:tc>
          <w:tcPr>
            <w:tcW w:w="111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单位名称</w:t>
            </w:r>
          </w:p>
        </w:tc>
        <w:tc>
          <w:tcPr>
            <w:tcW w:w="472"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本年收入合计</w:t>
            </w:r>
          </w:p>
        </w:tc>
        <w:tc>
          <w:tcPr>
            <w:tcW w:w="68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财政拨款收入</w:t>
            </w:r>
          </w:p>
        </w:tc>
        <w:tc>
          <w:tcPr>
            <w:tcW w:w="54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上级补助收入</w:t>
            </w:r>
          </w:p>
        </w:tc>
        <w:tc>
          <w:tcPr>
            <w:tcW w:w="54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事业收入</w:t>
            </w:r>
          </w:p>
        </w:tc>
        <w:tc>
          <w:tcPr>
            <w:tcW w:w="54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经营收入</w:t>
            </w:r>
          </w:p>
        </w:tc>
        <w:tc>
          <w:tcPr>
            <w:tcW w:w="545" w:type="pct"/>
            <w:vMerge w:val="restart"/>
            <w:tcBorders>
              <w:top w:val="nil"/>
              <w:left w:val="nil"/>
              <w:bottom w:val="single" w:sz="4" w:space="0" w:color="000000"/>
              <w:right w:val="single" w:sz="4" w:space="0" w:color="000000"/>
            </w:tcBorders>
            <w:shd w:val="clear" w:color="auto" w:fill="auto"/>
            <w:vAlign w:val="center"/>
            <w:hideMark/>
          </w:tcPr>
          <w:p w:rsidR="000701A8" w:rsidRPr="000701A8" w:rsidRDefault="000701A8" w:rsidP="000701A8">
            <w:pPr>
              <w:jc w:val="center"/>
              <w:rPr>
                <w:rFonts w:cs="Arial"/>
                <w:sz w:val="20"/>
                <w:szCs w:val="20"/>
              </w:rPr>
            </w:pPr>
            <w:r w:rsidRPr="000701A8">
              <w:rPr>
                <w:rFonts w:cs="Arial" w:hint="eastAsia"/>
                <w:sz w:val="20"/>
                <w:szCs w:val="20"/>
              </w:rPr>
              <w:t>附属单位上缴收入</w:t>
            </w:r>
          </w:p>
        </w:tc>
        <w:tc>
          <w:tcPr>
            <w:tcW w:w="54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其他收入</w:t>
            </w:r>
          </w:p>
        </w:tc>
      </w:tr>
      <w:tr w:rsidR="000701A8" w:rsidRPr="000701A8" w:rsidTr="000701A8">
        <w:trPr>
          <w:trHeight w:val="840"/>
        </w:trPr>
        <w:tc>
          <w:tcPr>
            <w:tcW w:w="1119" w:type="pct"/>
            <w:vMerge/>
            <w:tcBorders>
              <w:top w:val="nil"/>
              <w:left w:val="single" w:sz="4" w:space="0" w:color="000000"/>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72"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68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54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54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54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54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54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r>
      <w:tr w:rsidR="000701A8" w:rsidRPr="000701A8" w:rsidTr="000701A8">
        <w:trPr>
          <w:trHeight w:val="315"/>
        </w:trPr>
        <w:tc>
          <w:tcPr>
            <w:tcW w:w="1119" w:type="pct"/>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栏次</w:t>
            </w:r>
          </w:p>
        </w:tc>
        <w:tc>
          <w:tcPr>
            <w:tcW w:w="472"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w:t>
            </w:r>
          </w:p>
        </w:tc>
        <w:tc>
          <w:tcPr>
            <w:tcW w:w="68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7</w:t>
            </w:r>
          </w:p>
        </w:tc>
      </w:tr>
      <w:tr w:rsidR="000701A8" w:rsidRPr="000701A8" w:rsidTr="000701A8">
        <w:trPr>
          <w:trHeight w:val="300"/>
        </w:trPr>
        <w:tc>
          <w:tcPr>
            <w:tcW w:w="1119" w:type="pct"/>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合计</w:t>
            </w:r>
          </w:p>
        </w:tc>
        <w:tc>
          <w:tcPr>
            <w:tcW w:w="472"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1,330.96</w:t>
            </w:r>
          </w:p>
        </w:tc>
        <w:tc>
          <w:tcPr>
            <w:tcW w:w="68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1,326.10</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0701A8" w:rsidRPr="000701A8" w:rsidTr="000701A8">
        <w:trPr>
          <w:trHeight w:val="300"/>
        </w:trPr>
        <w:tc>
          <w:tcPr>
            <w:tcW w:w="1119" w:type="pct"/>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浙江革命烈士纪念馆</w:t>
            </w:r>
          </w:p>
        </w:tc>
        <w:tc>
          <w:tcPr>
            <w:tcW w:w="472"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1,330.96</w:t>
            </w:r>
          </w:p>
        </w:tc>
        <w:tc>
          <w:tcPr>
            <w:tcW w:w="68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1,326.10</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54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0701A8" w:rsidRPr="000701A8" w:rsidTr="000701A8">
        <w:trPr>
          <w:trHeight w:val="300"/>
        </w:trPr>
        <w:tc>
          <w:tcPr>
            <w:tcW w:w="5000" w:type="pct"/>
            <w:gridSpan w:val="8"/>
            <w:tcBorders>
              <w:top w:val="nil"/>
              <w:left w:val="nil"/>
              <w:bottom w:val="nil"/>
              <w:right w:val="nil"/>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注：本表反映本年度取得各项收入情况。</w:t>
            </w:r>
          </w:p>
        </w:tc>
      </w:tr>
    </w:tbl>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Style w:val="a3"/>
          <w:rFonts w:asciiTheme="minorEastAsia" w:eastAsiaTheme="minorEastAsia" w:hAnsiTheme="minorEastAsia" w:cs="黑体"/>
          <w:color w:val="auto"/>
          <w:sz w:val="32"/>
          <w:szCs w:val="32"/>
          <w:u w:val="none"/>
        </w:rPr>
      </w:pPr>
    </w:p>
    <w:p w:rsidR="000701A8" w:rsidRDefault="000701A8" w:rsidP="000701A8">
      <w:pPr>
        <w:jc w:val="center"/>
        <w:rPr>
          <w:rFonts w:ascii="黑体" w:eastAsia="黑体" w:hAnsi="黑体" w:cs="Arial"/>
          <w:sz w:val="30"/>
          <w:szCs w:val="30"/>
        </w:rPr>
      </w:pPr>
      <w:r w:rsidRPr="00AF60D8">
        <w:rPr>
          <w:rFonts w:ascii="黑体" w:eastAsia="黑体" w:hAnsi="黑体" w:cs="Arial"/>
          <w:sz w:val="30"/>
          <w:szCs w:val="30"/>
        </w:rPr>
        <w:lastRenderedPageBreak/>
        <w:t>收入决算表（分科目）</w:t>
      </w:r>
    </w:p>
    <w:tbl>
      <w:tblPr>
        <w:tblW w:w="5000" w:type="pct"/>
        <w:tblLook w:val="04A0"/>
      </w:tblPr>
      <w:tblGrid>
        <w:gridCol w:w="416"/>
        <w:gridCol w:w="416"/>
        <w:gridCol w:w="416"/>
        <w:gridCol w:w="3616"/>
        <w:gridCol w:w="1416"/>
        <w:gridCol w:w="1416"/>
        <w:gridCol w:w="1416"/>
        <w:gridCol w:w="1016"/>
        <w:gridCol w:w="1044"/>
        <w:gridCol w:w="1244"/>
        <w:gridCol w:w="1760"/>
      </w:tblGrid>
      <w:tr w:rsidR="00CE5977" w:rsidRPr="000701A8" w:rsidTr="00CE5977">
        <w:trPr>
          <w:trHeight w:val="270"/>
        </w:trPr>
        <w:tc>
          <w:tcPr>
            <w:tcW w:w="147"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147"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147"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1275"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9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9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9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358"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36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439" w:type="pct"/>
            <w:tcBorders>
              <w:top w:val="nil"/>
              <w:left w:val="nil"/>
              <w:bottom w:val="nil"/>
              <w:right w:val="nil"/>
            </w:tcBorders>
            <w:shd w:val="clear" w:color="auto" w:fill="auto"/>
            <w:noWrap/>
            <w:vAlign w:val="center"/>
            <w:hideMark/>
          </w:tcPr>
          <w:p w:rsidR="000701A8" w:rsidRPr="000701A8" w:rsidRDefault="000701A8" w:rsidP="000701A8">
            <w:pPr>
              <w:rPr>
                <w:rFonts w:cs="Arial"/>
                <w:sz w:val="18"/>
                <w:szCs w:val="18"/>
              </w:rPr>
            </w:pPr>
          </w:p>
        </w:tc>
        <w:tc>
          <w:tcPr>
            <w:tcW w:w="619" w:type="pct"/>
            <w:tcBorders>
              <w:top w:val="nil"/>
              <w:left w:val="nil"/>
              <w:bottom w:val="nil"/>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公开03表</w:t>
            </w:r>
          </w:p>
        </w:tc>
      </w:tr>
      <w:tr w:rsidR="000701A8" w:rsidRPr="000701A8" w:rsidTr="00CE5977">
        <w:trPr>
          <w:trHeight w:val="270"/>
        </w:trPr>
        <w:tc>
          <w:tcPr>
            <w:tcW w:w="1716" w:type="pct"/>
            <w:gridSpan w:val="4"/>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22"/>
                <w:szCs w:val="22"/>
              </w:rPr>
            </w:pPr>
            <w:r w:rsidRPr="000701A8">
              <w:rPr>
                <w:rFonts w:cs="Arial" w:hint="eastAsia"/>
                <w:sz w:val="22"/>
                <w:szCs w:val="22"/>
              </w:rPr>
              <w:t>编制单位：浙江革命烈士纪念馆</w:t>
            </w:r>
          </w:p>
        </w:tc>
        <w:tc>
          <w:tcPr>
            <w:tcW w:w="49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49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49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358"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36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439" w:type="pct"/>
            <w:tcBorders>
              <w:top w:val="nil"/>
              <w:left w:val="nil"/>
              <w:bottom w:val="single" w:sz="4" w:space="0" w:color="808080"/>
              <w:right w:val="nil"/>
            </w:tcBorders>
            <w:shd w:val="clear" w:color="auto" w:fill="auto"/>
            <w:noWrap/>
            <w:vAlign w:val="center"/>
            <w:hideMark/>
          </w:tcPr>
          <w:p w:rsidR="000701A8" w:rsidRPr="000701A8" w:rsidRDefault="000701A8" w:rsidP="000701A8">
            <w:pPr>
              <w:rPr>
                <w:rFonts w:cs="Arial"/>
                <w:sz w:val="18"/>
                <w:szCs w:val="18"/>
              </w:rPr>
            </w:pPr>
            <w:r w:rsidRPr="000701A8">
              <w:rPr>
                <w:rFonts w:cs="Arial" w:hint="eastAsia"/>
                <w:sz w:val="18"/>
                <w:szCs w:val="18"/>
              </w:rPr>
              <w:t xml:space="preserve">　</w:t>
            </w:r>
          </w:p>
        </w:tc>
        <w:tc>
          <w:tcPr>
            <w:tcW w:w="619" w:type="pct"/>
            <w:tcBorders>
              <w:top w:val="nil"/>
              <w:left w:val="nil"/>
              <w:bottom w:val="single" w:sz="4" w:space="0" w:color="808080"/>
              <w:right w:val="nil"/>
            </w:tcBorders>
            <w:shd w:val="clear" w:color="auto" w:fill="auto"/>
            <w:noWrap/>
            <w:vAlign w:val="center"/>
            <w:hideMark/>
          </w:tcPr>
          <w:p w:rsidR="000701A8" w:rsidRPr="000701A8" w:rsidRDefault="000701A8" w:rsidP="000701A8">
            <w:pPr>
              <w:jc w:val="right"/>
              <w:rPr>
                <w:rFonts w:cs="Arial"/>
                <w:sz w:val="22"/>
                <w:szCs w:val="22"/>
              </w:rPr>
            </w:pPr>
            <w:r w:rsidRPr="000701A8">
              <w:rPr>
                <w:rFonts w:cs="Arial" w:hint="eastAsia"/>
                <w:sz w:val="22"/>
                <w:szCs w:val="22"/>
              </w:rPr>
              <w:t>金额单位：万元</w:t>
            </w:r>
          </w:p>
        </w:tc>
      </w:tr>
      <w:tr w:rsidR="00CE5977" w:rsidRPr="000701A8" w:rsidTr="00CE5977">
        <w:trPr>
          <w:trHeight w:val="300"/>
        </w:trPr>
        <w:tc>
          <w:tcPr>
            <w:tcW w:w="1716"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项目</w:t>
            </w:r>
          </w:p>
        </w:tc>
        <w:tc>
          <w:tcPr>
            <w:tcW w:w="499"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本年收入合计</w:t>
            </w:r>
          </w:p>
        </w:tc>
        <w:tc>
          <w:tcPr>
            <w:tcW w:w="499"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财政拨款收入</w:t>
            </w:r>
          </w:p>
        </w:tc>
        <w:tc>
          <w:tcPr>
            <w:tcW w:w="499"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上级补助收入</w:t>
            </w:r>
          </w:p>
        </w:tc>
        <w:tc>
          <w:tcPr>
            <w:tcW w:w="358"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事业收入</w:t>
            </w:r>
          </w:p>
        </w:tc>
        <w:tc>
          <w:tcPr>
            <w:tcW w:w="369"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经营收入</w:t>
            </w:r>
          </w:p>
        </w:tc>
        <w:tc>
          <w:tcPr>
            <w:tcW w:w="439" w:type="pct"/>
            <w:vMerge w:val="restart"/>
            <w:tcBorders>
              <w:top w:val="nil"/>
              <w:left w:val="nil"/>
              <w:bottom w:val="single" w:sz="4" w:space="0" w:color="000000"/>
              <w:right w:val="single" w:sz="4" w:space="0" w:color="000000"/>
            </w:tcBorders>
            <w:shd w:val="clear" w:color="auto" w:fill="auto"/>
            <w:vAlign w:val="center"/>
            <w:hideMark/>
          </w:tcPr>
          <w:p w:rsidR="000701A8" w:rsidRPr="000701A8" w:rsidRDefault="000701A8" w:rsidP="000701A8">
            <w:pPr>
              <w:jc w:val="center"/>
              <w:rPr>
                <w:rFonts w:cs="Arial"/>
                <w:sz w:val="20"/>
                <w:szCs w:val="20"/>
              </w:rPr>
            </w:pPr>
            <w:r w:rsidRPr="000701A8">
              <w:rPr>
                <w:rFonts w:cs="Arial" w:hint="eastAsia"/>
                <w:sz w:val="20"/>
                <w:szCs w:val="20"/>
              </w:rPr>
              <w:t>附属单位上缴收入</w:t>
            </w:r>
          </w:p>
        </w:tc>
        <w:tc>
          <w:tcPr>
            <w:tcW w:w="619"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其他收入</w:t>
            </w:r>
          </w:p>
        </w:tc>
      </w:tr>
      <w:tr w:rsidR="00CE5977" w:rsidRPr="000701A8" w:rsidTr="00CE5977">
        <w:trPr>
          <w:trHeight w:val="300"/>
        </w:trPr>
        <w:tc>
          <w:tcPr>
            <w:tcW w:w="440"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701A8" w:rsidRPr="000701A8" w:rsidRDefault="000701A8" w:rsidP="000701A8">
            <w:pPr>
              <w:jc w:val="center"/>
              <w:rPr>
                <w:rFonts w:cs="Arial"/>
                <w:sz w:val="20"/>
                <w:szCs w:val="20"/>
              </w:rPr>
            </w:pPr>
            <w:r w:rsidRPr="000701A8">
              <w:rPr>
                <w:rFonts w:cs="Arial" w:hint="eastAsia"/>
                <w:sz w:val="20"/>
                <w:szCs w:val="20"/>
              </w:rPr>
              <w:t>支出功能分类科目编码</w:t>
            </w:r>
          </w:p>
        </w:tc>
        <w:tc>
          <w:tcPr>
            <w:tcW w:w="1275"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科目名称</w:t>
            </w: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58"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6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3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r>
      <w:tr w:rsidR="00CE5977" w:rsidRPr="000701A8" w:rsidTr="00CE5977">
        <w:trPr>
          <w:trHeight w:val="300"/>
        </w:trPr>
        <w:tc>
          <w:tcPr>
            <w:tcW w:w="440" w:type="pct"/>
            <w:gridSpan w:val="3"/>
            <w:vMerge/>
            <w:tcBorders>
              <w:top w:val="nil"/>
              <w:left w:val="single" w:sz="4" w:space="0" w:color="000000"/>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127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58"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6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3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r>
      <w:tr w:rsidR="00CE5977" w:rsidRPr="000701A8" w:rsidTr="00CE5977">
        <w:trPr>
          <w:trHeight w:val="300"/>
        </w:trPr>
        <w:tc>
          <w:tcPr>
            <w:tcW w:w="440" w:type="pct"/>
            <w:gridSpan w:val="3"/>
            <w:vMerge/>
            <w:tcBorders>
              <w:top w:val="nil"/>
              <w:left w:val="single" w:sz="4" w:space="0" w:color="000000"/>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1275"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9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58"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36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43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r>
      <w:tr w:rsidR="00CE5977" w:rsidRPr="000701A8" w:rsidTr="00CE5977">
        <w:trPr>
          <w:trHeight w:val="300"/>
        </w:trPr>
        <w:tc>
          <w:tcPr>
            <w:tcW w:w="14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类</w:t>
            </w:r>
          </w:p>
        </w:tc>
        <w:tc>
          <w:tcPr>
            <w:tcW w:w="147"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款</w:t>
            </w:r>
          </w:p>
        </w:tc>
        <w:tc>
          <w:tcPr>
            <w:tcW w:w="147" w:type="pct"/>
            <w:vMerge w:val="restar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项</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栏次</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1</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3</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5</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6</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7</w:t>
            </w:r>
          </w:p>
        </w:tc>
      </w:tr>
      <w:tr w:rsidR="00CE5977" w:rsidRPr="000701A8" w:rsidTr="00CE5977">
        <w:trPr>
          <w:trHeight w:val="300"/>
        </w:trPr>
        <w:tc>
          <w:tcPr>
            <w:tcW w:w="147" w:type="pct"/>
            <w:vMerge/>
            <w:tcBorders>
              <w:top w:val="nil"/>
              <w:left w:val="single" w:sz="4" w:space="0" w:color="000000"/>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147"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147" w:type="pct"/>
            <w:vMerge/>
            <w:tcBorders>
              <w:top w:val="nil"/>
              <w:left w:val="nil"/>
              <w:bottom w:val="single" w:sz="4" w:space="0" w:color="000000"/>
              <w:right w:val="single" w:sz="4" w:space="0" w:color="000000"/>
            </w:tcBorders>
            <w:vAlign w:val="center"/>
            <w:hideMark/>
          </w:tcPr>
          <w:p w:rsidR="000701A8" w:rsidRPr="000701A8" w:rsidRDefault="000701A8" w:rsidP="000701A8">
            <w:pPr>
              <w:rPr>
                <w:rFonts w:cs="Arial"/>
                <w:sz w:val="20"/>
                <w:szCs w:val="20"/>
              </w:rPr>
            </w:pP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center"/>
              <w:rPr>
                <w:rFonts w:cs="Arial"/>
                <w:sz w:val="20"/>
                <w:szCs w:val="20"/>
              </w:rPr>
            </w:pPr>
            <w:r w:rsidRPr="000701A8">
              <w:rPr>
                <w:rFonts w:cs="Arial" w:hint="eastAsia"/>
                <w:sz w:val="20"/>
                <w:szCs w:val="20"/>
              </w:rPr>
              <w:t>合计</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1,330.96</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1,326.10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社会保障和就业支出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1,197.14</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1,192.28</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20805</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行政事业单位养老支出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77.89</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77.89</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2080505</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机关事业单位基本养老保险缴费支出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51.93</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51.93</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2080506</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机关事业单位职业年金缴费支出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25.96</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25.96</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20808</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抚恤</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164.50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164.50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2080804</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优抚事业单位支出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164.50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164.50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20828</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退役军人管理事务</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954.76</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949.89</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2082850</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事业运行</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954.76</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949.89</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4.87</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210</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卫生健康支出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21011</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行政事业单位医疗</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2101102</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事业单位医疗</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23.82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221</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住房保障支出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110.00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110.00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22102</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住房改革支出</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110.00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110.00</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2210201</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住房公积金</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63.88</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63.88</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CE5977" w:rsidRPr="000701A8"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2210203</w:t>
            </w:r>
          </w:p>
        </w:tc>
        <w:tc>
          <w:tcPr>
            <w:tcW w:w="1275"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 xml:space="preserve">  购房补贴</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46.12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46.12</w:t>
            </w:r>
          </w:p>
        </w:tc>
        <w:tc>
          <w:tcPr>
            <w:tcW w:w="49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36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43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0701A8" w:rsidRPr="000701A8" w:rsidRDefault="000701A8" w:rsidP="000701A8">
            <w:pPr>
              <w:jc w:val="right"/>
              <w:rPr>
                <w:rFonts w:cs="Arial"/>
                <w:sz w:val="20"/>
                <w:szCs w:val="20"/>
              </w:rPr>
            </w:pPr>
            <w:r w:rsidRPr="000701A8">
              <w:rPr>
                <w:rFonts w:cs="Arial" w:hint="eastAsia"/>
                <w:sz w:val="20"/>
                <w:szCs w:val="20"/>
              </w:rPr>
              <w:t xml:space="preserve">　</w:t>
            </w:r>
          </w:p>
        </w:tc>
      </w:tr>
      <w:tr w:rsidR="000701A8" w:rsidRPr="000701A8" w:rsidTr="00CE5977">
        <w:trPr>
          <w:trHeight w:val="300"/>
        </w:trPr>
        <w:tc>
          <w:tcPr>
            <w:tcW w:w="5000" w:type="pct"/>
            <w:gridSpan w:val="11"/>
            <w:tcBorders>
              <w:top w:val="nil"/>
              <w:left w:val="nil"/>
              <w:bottom w:val="nil"/>
              <w:right w:val="nil"/>
            </w:tcBorders>
            <w:shd w:val="clear" w:color="auto" w:fill="auto"/>
            <w:noWrap/>
            <w:vAlign w:val="center"/>
            <w:hideMark/>
          </w:tcPr>
          <w:p w:rsidR="000701A8" w:rsidRPr="000701A8" w:rsidRDefault="000701A8" w:rsidP="000701A8">
            <w:pPr>
              <w:rPr>
                <w:rFonts w:cs="Arial"/>
                <w:sz w:val="20"/>
                <w:szCs w:val="20"/>
              </w:rPr>
            </w:pPr>
            <w:r w:rsidRPr="000701A8">
              <w:rPr>
                <w:rFonts w:cs="Arial" w:hint="eastAsia"/>
                <w:sz w:val="20"/>
                <w:szCs w:val="20"/>
              </w:rPr>
              <w:t>注：本表反映本年度取得各项收入情况。</w:t>
            </w:r>
          </w:p>
        </w:tc>
      </w:tr>
    </w:tbl>
    <w:p w:rsidR="000701A8"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支出决算表（分单位）</w:t>
      </w:r>
    </w:p>
    <w:tbl>
      <w:tblPr>
        <w:tblW w:w="14720" w:type="dxa"/>
        <w:tblInd w:w="97" w:type="dxa"/>
        <w:tblLook w:val="04A0"/>
      </w:tblPr>
      <w:tblGrid>
        <w:gridCol w:w="3920"/>
        <w:gridCol w:w="1800"/>
        <w:gridCol w:w="1800"/>
        <w:gridCol w:w="1800"/>
        <w:gridCol w:w="1800"/>
        <w:gridCol w:w="1800"/>
        <w:gridCol w:w="1800"/>
      </w:tblGrid>
      <w:tr w:rsidR="00CE5977" w:rsidRPr="00CE5977" w:rsidTr="00CE5977">
        <w:trPr>
          <w:trHeight w:val="270"/>
        </w:trPr>
        <w:tc>
          <w:tcPr>
            <w:tcW w:w="392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00" w:type="dxa"/>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公开04表</w:t>
            </w:r>
          </w:p>
        </w:tc>
      </w:tr>
      <w:tr w:rsidR="00CE5977" w:rsidRPr="00CE5977" w:rsidTr="00CE5977">
        <w:trPr>
          <w:trHeight w:val="270"/>
        </w:trPr>
        <w:tc>
          <w:tcPr>
            <w:tcW w:w="392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编制单位：浙江革命烈士纪念馆</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800" w:type="dxa"/>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39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单位名称</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本年支出合计</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基本支出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项目支出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上缴上级支出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经营支出</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对附属单位补助支出</w:t>
            </w:r>
          </w:p>
        </w:tc>
      </w:tr>
      <w:tr w:rsidR="00CE5977" w:rsidRPr="00CE5977" w:rsidTr="00CE5977">
        <w:trPr>
          <w:trHeight w:val="450"/>
        </w:trPr>
        <w:tc>
          <w:tcPr>
            <w:tcW w:w="3920" w:type="dxa"/>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00" w:type="dxa"/>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3920" w:type="dxa"/>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栏次</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w:t>
            </w:r>
          </w:p>
        </w:tc>
      </w:tr>
      <w:tr w:rsidR="00CE5977" w:rsidRPr="00CE5977" w:rsidTr="00CE5977">
        <w:trPr>
          <w:trHeight w:val="300"/>
        </w:trPr>
        <w:tc>
          <w:tcPr>
            <w:tcW w:w="3920" w:type="dxa"/>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1,379.23</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1,190.94</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3920" w:type="dxa"/>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浙江革命烈士纪念馆</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1,379.23</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1,190.94</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4720" w:type="dxa"/>
            <w:gridSpan w:val="7"/>
            <w:tcBorders>
              <w:top w:val="nil"/>
              <w:left w:val="nil"/>
              <w:bottom w:val="nil"/>
              <w:right w:val="nil"/>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注：本表反映本年度各项支出情况。</w:t>
            </w:r>
          </w:p>
        </w:tc>
      </w:tr>
    </w:tbl>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支出决算表（分科目）</w:t>
      </w:r>
    </w:p>
    <w:tbl>
      <w:tblPr>
        <w:tblW w:w="5000" w:type="pct"/>
        <w:tblLook w:val="04A0"/>
      </w:tblPr>
      <w:tblGrid>
        <w:gridCol w:w="416"/>
        <w:gridCol w:w="416"/>
        <w:gridCol w:w="417"/>
        <w:gridCol w:w="3616"/>
        <w:gridCol w:w="1511"/>
        <w:gridCol w:w="1511"/>
        <w:gridCol w:w="1511"/>
        <w:gridCol w:w="1511"/>
        <w:gridCol w:w="1511"/>
        <w:gridCol w:w="1756"/>
      </w:tblGrid>
      <w:tr w:rsidR="00CE5977" w:rsidRPr="00CE5977" w:rsidTr="00CE5977">
        <w:trPr>
          <w:trHeight w:val="270"/>
        </w:trPr>
        <w:tc>
          <w:tcPr>
            <w:tcW w:w="14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4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4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275"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3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3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3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3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3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619" w:type="pct"/>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公开05表</w:t>
            </w:r>
          </w:p>
        </w:tc>
      </w:tr>
      <w:tr w:rsidR="00CE5977" w:rsidRPr="00CE5977" w:rsidTr="00CE5977">
        <w:trPr>
          <w:trHeight w:val="270"/>
        </w:trPr>
        <w:tc>
          <w:tcPr>
            <w:tcW w:w="1716" w:type="pct"/>
            <w:gridSpan w:val="4"/>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编制单位：浙江革命烈士纪念馆</w:t>
            </w:r>
          </w:p>
        </w:tc>
        <w:tc>
          <w:tcPr>
            <w:tcW w:w="53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3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3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3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3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619" w:type="pct"/>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1716"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项目</w:t>
            </w:r>
          </w:p>
        </w:tc>
        <w:tc>
          <w:tcPr>
            <w:tcW w:w="533"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本年支出合计</w:t>
            </w:r>
          </w:p>
        </w:tc>
        <w:tc>
          <w:tcPr>
            <w:tcW w:w="533"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基本支出</w:t>
            </w:r>
          </w:p>
        </w:tc>
        <w:tc>
          <w:tcPr>
            <w:tcW w:w="533"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项目支出</w:t>
            </w:r>
          </w:p>
        </w:tc>
        <w:tc>
          <w:tcPr>
            <w:tcW w:w="533"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上缴上级支出</w:t>
            </w:r>
          </w:p>
        </w:tc>
        <w:tc>
          <w:tcPr>
            <w:tcW w:w="533"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经营支出</w:t>
            </w:r>
          </w:p>
        </w:tc>
        <w:tc>
          <w:tcPr>
            <w:tcW w:w="619"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对附属单位补助支出</w:t>
            </w:r>
          </w:p>
        </w:tc>
      </w:tr>
      <w:tr w:rsidR="00CE5977" w:rsidRPr="00CE5977" w:rsidTr="00CE5977">
        <w:trPr>
          <w:trHeight w:val="300"/>
        </w:trPr>
        <w:tc>
          <w:tcPr>
            <w:tcW w:w="440"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支出功能分类科目编码</w:t>
            </w:r>
          </w:p>
        </w:tc>
        <w:tc>
          <w:tcPr>
            <w:tcW w:w="1275"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科目名称</w:t>
            </w: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440"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75"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440"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75"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33"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619"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14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类</w:t>
            </w:r>
          </w:p>
        </w:tc>
        <w:tc>
          <w:tcPr>
            <w:tcW w:w="147"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款</w:t>
            </w:r>
          </w:p>
        </w:tc>
        <w:tc>
          <w:tcPr>
            <w:tcW w:w="147"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项</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栏次</w:t>
            </w:r>
          </w:p>
        </w:tc>
        <w:tc>
          <w:tcPr>
            <w:tcW w:w="533"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533"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533"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c>
          <w:tcPr>
            <w:tcW w:w="533"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w:t>
            </w:r>
          </w:p>
        </w:tc>
      </w:tr>
      <w:tr w:rsidR="00CE5977" w:rsidRPr="00CE5977" w:rsidTr="00CE5977">
        <w:trPr>
          <w:trHeight w:val="300"/>
        </w:trPr>
        <w:tc>
          <w:tcPr>
            <w:tcW w:w="147" w:type="pct"/>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4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4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合计</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1,379.23</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1,190.94</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社会保障和就业支出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1,234.62</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1,046.34</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行政事业单位养老支出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74.50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74.50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2080505</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机关事业单位基本养老保险缴费支出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49.67</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49.67</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2080506</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机关事业单位职业年金缴费支出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24.83</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24.83</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20808</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抚恤</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188.87</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0.58</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2080804</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优抚事业单位支出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188.87</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0.58</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20828</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退役军人管理事务</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971.25</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971.25</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2082850</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事业运行</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971.25</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971.25</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卫生健康支出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21011</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行政事业单位医疗</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2101102</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事业单位医疗</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住房保障支出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住房改革支出</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2210201</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住房公积金</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67.89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67.89</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4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2210203</w:t>
            </w:r>
          </w:p>
        </w:tc>
        <w:tc>
          <w:tcPr>
            <w:tcW w:w="127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购房补贴</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52.22</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52.22</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000" w:type="pct"/>
            <w:gridSpan w:val="10"/>
            <w:tcBorders>
              <w:top w:val="nil"/>
              <w:left w:val="nil"/>
              <w:bottom w:val="nil"/>
              <w:right w:val="nil"/>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注：本表反映本年度各项支出情况。</w:t>
            </w:r>
          </w:p>
        </w:tc>
      </w:tr>
    </w:tbl>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财政拨款收入支出决算总表</w:t>
      </w:r>
    </w:p>
    <w:tbl>
      <w:tblPr>
        <w:tblW w:w="5000" w:type="pct"/>
        <w:tblLook w:val="04A0"/>
      </w:tblPr>
      <w:tblGrid>
        <w:gridCol w:w="3016"/>
        <w:gridCol w:w="449"/>
        <w:gridCol w:w="1323"/>
        <w:gridCol w:w="3216"/>
        <w:gridCol w:w="449"/>
        <w:gridCol w:w="1320"/>
        <w:gridCol w:w="1321"/>
        <w:gridCol w:w="1326"/>
        <w:gridCol w:w="1756"/>
      </w:tblGrid>
      <w:tr w:rsidR="00CE5977" w:rsidRPr="00CE5977" w:rsidTr="00CE5977">
        <w:trPr>
          <w:trHeight w:val="270"/>
        </w:trPr>
        <w:tc>
          <w:tcPr>
            <w:tcW w:w="1056"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62"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470"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126"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62"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469"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469"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470"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615" w:type="pct"/>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公开06表</w:t>
            </w:r>
          </w:p>
        </w:tc>
      </w:tr>
      <w:tr w:rsidR="00CE5977" w:rsidRPr="00CE5977" w:rsidTr="00CE5977">
        <w:trPr>
          <w:trHeight w:val="270"/>
        </w:trPr>
        <w:tc>
          <w:tcPr>
            <w:tcW w:w="1056"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部门：浙江革命烈士纪念馆</w:t>
            </w:r>
          </w:p>
        </w:tc>
        <w:tc>
          <w:tcPr>
            <w:tcW w:w="162"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470"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126"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62"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469"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469"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470"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615" w:type="pct"/>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168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收     入</w:t>
            </w:r>
          </w:p>
        </w:tc>
        <w:tc>
          <w:tcPr>
            <w:tcW w:w="3312" w:type="pct"/>
            <w:gridSpan w:val="6"/>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支     出</w:t>
            </w:r>
          </w:p>
        </w:tc>
      </w:tr>
      <w:tr w:rsidR="00CE5977" w:rsidRPr="00CE5977" w:rsidTr="00CE5977">
        <w:trPr>
          <w:trHeight w:val="285"/>
        </w:trPr>
        <w:tc>
          <w:tcPr>
            <w:tcW w:w="105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项目</w:t>
            </w:r>
          </w:p>
        </w:tc>
        <w:tc>
          <w:tcPr>
            <w:tcW w:w="162"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行次</w:t>
            </w:r>
          </w:p>
        </w:tc>
        <w:tc>
          <w:tcPr>
            <w:tcW w:w="470"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金额</w:t>
            </w:r>
          </w:p>
        </w:tc>
        <w:tc>
          <w:tcPr>
            <w:tcW w:w="1126" w:type="pct"/>
            <w:vMerge w:val="restart"/>
            <w:tcBorders>
              <w:top w:val="nil"/>
              <w:left w:val="nil"/>
              <w:bottom w:val="single" w:sz="4" w:space="0" w:color="000000"/>
              <w:right w:val="single" w:sz="4" w:space="0" w:color="000000"/>
            </w:tcBorders>
            <w:shd w:val="clear" w:color="auto" w:fill="auto"/>
            <w:vAlign w:val="bottom"/>
            <w:hideMark/>
          </w:tcPr>
          <w:p w:rsidR="00CE5977" w:rsidRPr="00CE5977" w:rsidRDefault="00CE5977" w:rsidP="00CE5977">
            <w:pPr>
              <w:rPr>
                <w:rFonts w:cs="Arial"/>
                <w:sz w:val="20"/>
                <w:szCs w:val="20"/>
              </w:rPr>
            </w:pPr>
            <w:r w:rsidRPr="00CE5977">
              <w:rPr>
                <w:rFonts w:cs="Arial" w:hint="eastAsia"/>
                <w:sz w:val="20"/>
                <w:szCs w:val="20"/>
              </w:rPr>
              <w:t>项目</w:t>
            </w:r>
          </w:p>
        </w:tc>
        <w:tc>
          <w:tcPr>
            <w:tcW w:w="162"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行次</w:t>
            </w:r>
          </w:p>
        </w:tc>
        <w:tc>
          <w:tcPr>
            <w:tcW w:w="469"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合计</w:t>
            </w:r>
          </w:p>
        </w:tc>
        <w:tc>
          <w:tcPr>
            <w:tcW w:w="469"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一般公共预算财政拨款</w:t>
            </w:r>
          </w:p>
        </w:tc>
        <w:tc>
          <w:tcPr>
            <w:tcW w:w="470"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政府性基金预算财政拨款</w:t>
            </w:r>
          </w:p>
        </w:tc>
        <w:tc>
          <w:tcPr>
            <w:tcW w:w="615"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国有资本经营预算财政拨款</w:t>
            </w:r>
          </w:p>
        </w:tc>
      </w:tr>
      <w:tr w:rsidR="00CE5977" w:rsidRPr="00CE5977" w:rsidTr="00CE5977">
        <w:trPr>
          <w:trHeight w:val="600"/>
        </w:trPr>
        <w:tc>
          <w:tcPr>
            <w:tcW w:w="1056" w:type="pct"/>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6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47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126"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6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469"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469"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47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615"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栏次</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1126" w:type="pct"/>
            <w:tcBorders>
              <w:top w:val="nil"/>
              <w:left w:val="nil"/>
              <w:bottom w:val="single" w:sz="4" w:space="0" w:color="000000"/>
              <w:right w:val="single" w:sz="4" w:space="0" w:color="000000"/>
            </w:tcBorders>
            <w:shd w:val="clear" w:color="auto" w:fill="auto"/>
            <w:noWrap/>
            <w:vAlign w:val="bottom"/>
            <w:hideMark/>
          </w:tcPr>
          <w:p w:rsidR="00CE5977" w:rsidRPr="00CE5977" w:rsidRDefault="00CE5977" w:rsidP="00CE5977">
            <w:pPr>
              <w:rPr>
                <w:rFonts w:cs="Arial"/>
                <w:sz w:val="20"/>
                <w:szCs w:val="20"/>
              </w:rPr>
            </w:pPr>
            <w:r w:rsidRPr="00CE5977">
              <w:rPr>
                <w:rFonts w:cs="Arial" w:hint="eastAsia"/>
                <w:sz w:val="20"/>
                <w:szCs w:val="20"/>
              </w:rPr>
              <w:t>栏次</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一、一般公共预算财政拨款</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1,326.10</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一、一般公共服务支出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33</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二、政府性基金预算财政拨款</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二、外交支出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34</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三、国有资本经营预算财政拨款</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三、国防支出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35</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四、公共安全支出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36</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五、教育支出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37</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六、科学技术支出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38</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7</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七、文化旅游体育与传媒支出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39</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8</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八、社会保障和就业支出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40</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1,234.48</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1,234.48</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9</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九、卫生健康支出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41</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10</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十、节能环保支出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42</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11</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十一、城乡社区支出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43</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12</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十二、农林水支出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44</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13</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十三、交通运输支出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45</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14</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十四、资源勘探工业信息等支出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46</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15</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十五、商业服务业等支出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47</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16</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十六、金融支出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48</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17</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十七、援助其他地区支出</w:t>
            </w:r>
          </w:p>
        </w:tc>
        <w:tc>
          <w:tcPr>
            <w:tcW w:w="16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49</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lastRenderedPageBreak/>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18</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十八、自然资源海洋气象等支出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50</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19</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十九、住房保障支出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51</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20</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二十、粮油物资储备支出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52</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21</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二十一、国有资本经营预算支出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53</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22</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二十二、灾害防治及应急管理支出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54</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23</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二十三、其他支出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55</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24</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二十四、债务还本支出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56</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25</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二十五、债务付息支出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57</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26</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二十六、抗疫特别国债安排的支出</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58</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b/>
                <w:bCs/>
                <w:sz w:val="20"/>
                <w:szCs w:val="20"/>
              </w:rPr>
            </w:pPr>
            <w:r w:rsidRPr="00CE5977">
              <w:rPr>
                <w:rFonts w:cs="Arial" w:hint="eastAsia"/>
                <w:b/>
                <w:bCs/>
                <w:sz w:val="20"/>
                <w:szCs w:val="20"/>
              </w:rPr>
              <w:t>本年收入合计</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27</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1,326.10</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b/>
                <w:bCs/>
                <w:sz w:val="20"/>
                <w:szCs w:val="20"/>
              </w:rPr>
            </w:pPr>
            <w:r w:rsidRPr="00CE5977">
              <w:rPr>
                <w:rFonts w:cs="Arial" w:hint="eastAsia"/>
                <w:b/>
                <w:bCs/>
                <w:sz w:val="20"/>
                <w:szCs w:val="20"/>
              </w:rPr>
              <w:t>本年支出合计</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59</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1,379.09</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1,379.09</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年初财政拨款结转和结余</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28</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80.44</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年末财政拨款结转和结余</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60</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27.45</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27.45</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一、一般公共预算财政拨款</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29</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80.44</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61</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二、政府性基金预算财政拨款</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30</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62</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三、国有资本经营预算财政拨款</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31</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63</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85752F">
        <w:trPr>
          <w:trHeight w:val="300"/>
        </w:trPr>
        <w:tc>
          <w:tcPr>
            <w:tcW w:w="105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b/>
                <w:bCs/>
                <w:sz w:val="20"/>
                <w:szCs w:val="20"/>
              </w:rPr>
            </w:pPr>
            <w:r w:rsidRPr="00CE5977">
              <w:rPr>
                <w:rFonts w:cs="Arial" w:hint="eastAsia"/>
                <w:b/>
                <w:bCs/>
                <w:sz w:val="20"/>
                <w:szCs w:val="20"/>
              </w:rPr>
              <w:t>总计</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32</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1,406.53</w:t>
            </w:r>
          </w:p>
        </w:tc>
        <w:tc>
          <w:tcPr>
            <w:tcW w:w="1126"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b/>
                <w:bCs/>
                <w:sz w:val="20"/>
                <w:szCs w:val="20"/>
              </w:rPr>
            </w:pPr>
            <w:r w:rsidRPr="00CE5977">
              <w:rPr>
                <w:rFonts w:cs="Arial" w:hint="eastAsia"/>
                <w:b/>
                <w:bCs/>
                <w:sz w:val="20"/>
                <w:szCs w:val="20"/>
              </w:rPr>
              <w:t>总计</w:t>
            </w:r>
          </w:p>
        </w:tc>
        <w:tc>
          <w:tcPr>
            <w:tcW w:w="162"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64</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1,406.53</w:t>
            </w:r>
          </w:p>
        </w:tc>
        <w:tc>
          <w:tcPr>
            <w:tcW w:w="469"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1,406.53</w:t>
            </w:r>
          </w:p>
        </w:tc>
        <w:tc>
          <w:tcPr>
            <w:tcW w:w="470"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4385" w:type="pct"/>
            <w:gridSpan w:val="8"/>
            <w:tcBorders>
              <w:top w:val="nil"/>
              <w:left w:val="nil"/>
              <w:bottom w:val="nil"/>
              <w:right w:val="nil"/>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注：本表反映本年度一般公共预算财政拨款、政府性基金预算财政拨款和国有资本经营预算财政拨款的总收支和年末结转结余情况。</w:t>
            </w:r>
          </w:p>
        </w:tc>
        <w:tc>
          <w:tcPr>
            <w:tcW w:w="615" w:type="pct"/>
            <w:tcBorders>
              <w:top w:val="nil"/>
              <w:left w:val="nil"/>
              <w:bottom w:val="nil"/>
              <w:right w:val="nil"/>
            </w:tcBorders>
            <w:shd w:val="clear" w:color="auto" w:fill="auto"/>
            <w:noWrap/>
            <w:vAlign w:val="center"/>
            <w:hideMark/>
          </w:tcPr>
          <w:p w:rsidR="00CE5977" w:rsidRPr="00CE5977" w:rsidRDefault="00CE5977" w:rsidP="00CE5977">
            <w:pPr>
              <w:rPr>
                <w:rFonts w:cs="Arial"/>
                <w:sz w:val="20"/>
                <w:szCs w:val="20"/>
              </w:rPr>
            </w:pPr>
          </w:p>
        </w:tc>
      </w:tr>
    </w:tbl>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一般公共预算财政拨款支出决算表</w:t>
      </w:r>
    </w:p>
    <w:tbl>
      <w:tblPr>
        <w:tblW w:w="5000" w:type="pct"/>
        <w:tblLook w:val="04A0"/>
      </w:tblPr>
      <w:tblGrid>
        <w:gridCol w:w="558"/>
        <w:gridCol w:w="558"/>
        <w:gridCol w:w="559"/>
        <w:gridCol w:w="5259"/>
        <w:gridCol w:w="2416"/>
        <w:gridCol w:w="2416"/>
        <w:gridCol w:w="2410"/>
      </w:tblGrid>
      <w:tr w:rsidR="00CE5977" w:rsidRPr="00CE5977" w:rsidTr="00CE5977">
        <w:trPr>
          <w:trHeight w:val="270"/>
        </w:trPr>
        <w:tc>
          <w:tcPr>
            <w:tcW w:w="19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9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9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855"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852"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852"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850" w:type="pct"/>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公开07表</w:t>
            </w:r>
          </w:p>
        </w:tc>
      </w:tr>
      <w:tr w:rsidR="00CE5977" w:rsidRPr="00CE5977" w:rsidTr="00CE5977">
        <w:trPr>
          <w:trHeight w:val="270"/>
        </w:trPr>
        <w:tc>
          <w:tcPr>
            <w:tcW w:w="2446" w:type="pct"/>
            <w:gridSpan w:val="4"/>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编制单位：浙江革命烈士纪念馆</w:t>
            </w:r>
          </w:p>
        </w:tc>
        <w:tc>
          <w:tcPr>
            <w:tcW w:w="852"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852"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850" w:type="pct"/>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2446"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项目</w:t>
            </w:r>
          </w:p>
        </w:tc>
        <w:tc>
          <w:tcPr>
            <w:tcW w:w="2554" w:type="pct"/>
            <w:gridSpan w:val="3"/>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本年支出</w:t>
            </w:r>
          </w:p>
        </w:tc>
      </w:tr>
      <w:tr w:rsidR="00CE5977" w:rsidRPr="00CE5977" w:rsidTr="00CE5977">
        <w:trPr>
          <w:trHeight w:val="300"/>
        </w:trPr>
        <w:tc>
          <w:tcPr>
            <w:tcW w:w="591"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支出功能分类科目编码</w:t>
            </w:r>
          </w:p>
        </w:tc>
        <w:tc>
          <w:tcPr>
            <w:tcW w:w="1855"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科目名称</w:t>
            </w:r>
          </w:p>
        </w:tc>
        <w:tc>
          <w:tcPr>
            <w:tcW w:w="852"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小计</w:t>
            </w:r>
          </w:p>
        </w:tc>
        <w:tc>
          <w:tcPr>
            <w:tcW w:w="852"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基本支出</w:t>
            </w:r>
          </w:p>
        </w:tc>
        <w:tc>
          <w:tcPr>
            <w:tcW w:w="850"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项目支出</w:t>
            </w:r>
          </w:p>
        </w:tc>
      </w:tr>
      <w:tr w:rsidR="00CE5977" w:rsidRPr="00CE5977" w:rsidTr="00CE5977">
        <w:trPr>
          <w:trHeight w:val="300"/>
        </w:trPr>
        <w:tc>
          <w:tcPr>
            <w:tcW w:w="591"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55"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591"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55"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85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19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类</w:t>
            </w:r>
          </w:p>
        </w:tc>
        <w:tc>
          <w:tcPr>
            <w:tcW w:w="197"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款</w:t>
            </w:r>
          </w:p>
        </w:tc>
        <w:tc>
          <w:tcPr>
            <w:tcW w:w="197"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项</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栏次</w:t>
            </w:r>
          </w:p>
        </w:tc>
        <w:tc>
          <w:tcPr>
            <w:tcW w:w="852"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852"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850"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r>
      <w:tr w:rsidR="00CE5977" w:rsidRPr="00CE5977" w:rsidTr="00CE5977">
        <w:trPr>
          <w:trHeight w:val="300"/>
        </w:trPr>
        <w:tc>
          <w:tcPr>
            <w:tcW w:w="197" w:type="pct"/>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9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9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合计</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1,379.09</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1,190.80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社会保障和就业支出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1,234.48</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1,046.20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行政事业单位养老支出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74.50</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74.50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2080505</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机关事业单位基本养老保险缴费支出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49.67</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49.67</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2080506</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机关事业单位职业年金缴费支出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24.83</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24.83</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20808</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抚恤</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188.87</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0.58</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2080804</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优抚事业单位支出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188.87</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0.58</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188.29</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20828</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退役军人管理事务</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971.11</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971.11</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2082850</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事业运行</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971.11</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971.11</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卫生健康支出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21011</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行政事业单位医疗</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2101102</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事业单位医疗</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24.50</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住房保障支出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住房改革支出</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120.11</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2210201</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住房公积金</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67.89</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67.89</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2210203</w:t>
            </w:r>
          </w:p>
        </w:tc>
        <w:tc>
          <w:tcPr>
            <w:tcW w:w="1855"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购房补贴</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52.22</w:t>
            </w:r>
          </w:p>
        </w:tc>
        <w:tc>
          <w:tcPr>
            <w:tcW w:w="852"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52.22</w:t>
            </w:r>
          </w:p>
        </w:tc>
        <w:tc>
          <w:tcPr>
            <w:tcW w:w="850"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000" w:type="pct"/>
            <w:gridSpan w:val="7"/>
            <w:tcBorders>
              <w:top w:val="nil"/>
              <w:left w:val="nil"/>
              <w:bottom w:val="nil"/>
              <w:right w:val="nil"/>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注：本表反映本年度一般公共预算财政拨款支出情况。</w:t>
            </w:r>
          </w:p>
        </w:tc>
      </w:tr>
    </w:tbl>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一般公共预算财政拨款基本支出决算表</w:t>
      </w:r>
    </w:p>
    <w:tbl>
      <w:tblPr>
        <w:tblW w:w="5000" w:type="pct"/>
        <w:tblLook w:val="04A0"/>
      </w:tblPr>
      <w:tblGrid>
        <w:gridCol w:w="716"/>
        <w:gridCol w:w="3080"/>
        <w:gridCol w:w="783"/>
        <w:gridCol w:w="687"/>
        <w:gridCol w:w="519"/>
        <w:gridCol w:w="1602"/>
        <w:gridCol w:w="783"/>
        <w:gridCol w:w="687"/>
        <w:gridCol w:w="417"/>
        <w:gridCol w:w="482"/>
        <w:gridCol w:w="2944"/>
        <w:gridCol w:w="1476"/>
      </w:tblGrid>
      <w:tr w:rsidR="00CB61B1" w:rsidRPr="00CB61B1" w:rsidTr="00CB61B1">
        <w:trPr>
          <w:trHeight w:val="225"/>
        </w:trPr>
        <w:tc>
          <w:tcPr>
            <w:tcW w:w="245" w:type="pct"/>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1088" w:type="pct"/>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279" w:type="pct"/>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431" w:type="pct"/>
            <w:gridSpan w:val="2"/>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847" w:type="pct"/>
            <w:gridSpan w:val="2"/>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395" w:type="pct"/>
            <w:gridSpan w:val="2"/>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173" w:type="pct"/>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1040" w:type="pct"/>
            <w:tcBorders>
              <w:top w:val="nil"/>
              <w:left w:val="nil"/>
              <w:bottom w:val="nil"/>
              <w:right w:val="nil"/>
            </w:tcBorders>
            <w:shd w:val="clear" w:color="auto" w:fill="auto"/>
            <w:noWrap/>
            <w:vAlign w:val="center"/>
            <w:hideMark/>
          </w:tcPr>
          <w:p w:rsidR="00CB61B1" w:rsidRPr="00CB61B1" w:rsidRDefault="00CB61B1" w:rsidP="00CB61B1">
            <w:pPr>
              <w:rPr>
                <w:rFonts w:cs="Arial"/>
                <w:sz w:val="18"/>
                <w:szCs w:val="18"/>
              </w:rPr>
            </w:pPr>
          </w:p>
        </w:tc>
        <w:tc>
          <w:tcPr>
            <w:tcW w:w="501" w:type="pct"/>
            <w:tcBorders>
              <w:top w:val="nil"/>
              <w:left w:val="nil"/>
              <w:bottom w:val="nil"/>
              <w:right w:val="nil"/>
            </w:tcBorders>
            <w:shd w:val="clear" w:color="auto" w:fill="auto"/>
            <w:noWrap/>
            <w:vAlign w:val="center"/>
            <w:hideMark/>
          </w:tcPr>
          <w:p w:rsidR="00CB61B1" w:rsidRPr="00CB61B1" w:rsidRDefault="00CB61B1" w:rsidP="00CB61B1">
            <w:pPr>
              <w:jc w:val="right"/>
              <w:rPr>
                <w:rFonts w:cs="Arial"/>
                <w:sz w:val="18"/>
                <w:szCs w:val="18"/>
              </w:rPr>
            </w:pPr>
            <w:r w:rsidRPr="00CB61B1">
              <w:rPr>
                <w:rFonts w:cs="Arial" w:hint="eastAsia"/>
                <w:sz w:val="18"/>
                <w:szCs w:val="18"/>
              </w:rPr>
              <w:t>公开08表</w:t>
            </w:r>
          </w:p>
        </w:tc>
      </w:tr>
      <w:tr w:rsidR="00CB61B1" w:rsidRPr="00CB61B1" w:rsidTr="00CB61B1">
        <w:trPr>
          <w:trHeight w:val="225"/>
        </w:trPr>
        <w:tc>
          <w:tcPr>
            <w:tcW w:w="1334" w:type="pct"/>
            <w:gridSpan w:val="2"/>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部门：浙江革命烈士纪念馆</w:t>
            </w:r>
          </w:p>
        </w:tc>
        <w:tc>
          <w:tcPr>
            <w:tcW w:w="279" w:type="pct"/>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431" w:type="pct"/>
            <w:gridSpan w:val="2"/>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847" w:type="pct"/>
            <w:gridSpan w:val="2"/>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395" w:type="pct"/>
            <w:gridSpan w:val="2"/>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173" w:type="pct"/>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1040" w:type="pct"/>
            <w:tcBorders>
              <w:top w:val="nil"/>
              <w:left w:val="nil"/>
              <w:bottom w:val="single" w:sz="4" w:space="0" w:color="808080"/>
              <w:right w:val="nil"/>
            </w:tcBorders>
            <w:shd w:val="clear" w:color="auto" w:fill="auto"/>
            <w:noWrap/>
            <w:vAlign w:val="center"/>
            <w:hideMark/>
          </w:tcPr>
          <w:p w:rsidR="00CB61B1" w:rsidRPr="00CB61B1" w:rsidRDefault="00CB61B1" w:rsidP="00CB61B1">
            <w:pPr>
              <w:rPr>
                <w:rFonts w:cs="Arial"/>
                <w:sz w:val="18"/>
                <w:szCs w:val="18"/>
              </w:rPr>
            </w:pPr>
            <w:r w:rsidRPr="00CB61B1">
              <w:rPr>
                <w:rFonts w:cs="Arial" w:hint="eastAsia"/>
                <w:sz w:val="18"/>
                <w:szCs w:val="18"/>
              </w:rPr>
              <w:t xml:space="preserve">　</w:t>
            </w:r>
          </w:p>
        </w:tc>
        <w:tc>
          <w:tcPr>
            <w:tcW w:w="501" w:type="pct"/>
            <w:tcBorders>
              <w:top w:val="nil"/>
              <w:left w:val="nil"/>
              <w:bottom w:val="single" w:sz="4" w:space="0" w:color="808080"/>
              <w:right w:val="nil"/>
            </w:tcBorders>
            <w:shd w:val="clear" w:color="auto" w:fill="auto"/>
            <w:noWrap/>
            <w:vAlign w:val="center"/>
            <w:hideMark/>
          </w:tcPr>
          <w:p w:rsidR="00CB61B1" w:rsidRPr="00CB61B1" w:rsidRDefault="00CB61B1" w:rsidP="00CB61B1">
            <w:pPr>
              <w:jc w:val="right"/>
              <w:rPr>
                <w:rFonts w:cs="Arial"/>
                <w:sz w:val="18"/>
                <w:szCs w:val="18"/>
              </w:rPr>
            </w:pPr>
            <w:r w:rsidRPr="00CB61B1">
              <w:rPr>
                <w:rFonts w:cs="Arial" w:hint="eastAsia"/>
                <w:sz w:val="18"/>
                <w:szCs w:val="18"/>
              </w:rPr>
              <w:t>金额单位：万元</w:t>
            </w:r>
          </w:p>
        </w:tc>
      </w:tr>
      <w:tr w:rsidR="00CB61B1" w:rsidRPr="00CB61B1" w:rsidTr="00CB61B1">
        <w:trPr>
          <w:trHeight w:val="300"/>
        </w:trPr>
        <w:tc>
          <w:tcPr>
            <w:tcW w:w="161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jc w:val="center"/>
              <w:rPr>
                <w:rFonts w:cs="Arial"/>
                <w:sz w:val="18"/>
                <w:szCs w:val="20"/>
              </w:rPr>
            </w:pPr>
            <w:r w:rsidRPr="00CB61B1">
              <w:rPr>
                <w:rFonts w:cs="Arial" w:hint="eastAsia"/>
                <w:sz w:val="18"/>
                <w:szCs w:val="20"/>
              </w:rPr>
              <w:t>人员经费</w:t>
            </w:r>
          </w:p>
        </w:tc>
        <w:tc>
          <w:tcPr>
            <w:tcW w:w="3388" w:type="pct"/>
            <w:gridSpan w:val="9"/>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center"/>
              <w:rPr>
                <w:rFonts w:cs="Arial"/>
                <w:sz w:val="18"/>
                <w:szCs w:val="20"/>
              </w:rPr>
            </w:pPr>
            <w:r w:rsidRPr="00CB61B1">
              <w:rPr>
                <w:rFonts w:cs="Arial" w:hint="eastAsia"/>
                <w:sz w:val="18"/>
                <w:szCs w:val="20"/>
              </w:rPr>
              <w:t>公用经费</w:t>
            </w:r>
          </w:p>
        </w:tc>
      </w:tr>
      <w:tr w:rsidR="00CB61B1" w:rsidRPr="00CB61B1" w:rsidTr="00CB61B1">
        <w:trPr>
          <w:trHeight w:val="300"/>
        </w:trPr>
        <w:tc>
          <w:tcPr>
            <w:tcW w:w="2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20"/>
                <w:szCs w:val="20"/>
              </w:rPr>
            </w:pPr>
            <w:r w:rsidRPr="00CB61B1">
              <w:rPr>
                <w:rFonts w:cs="Arial" w:hint="eastAsia"/>
                <w:sz w:val="20"/>
                <w:szCs w:val="20"/>
              </w:rPr>
              <w:t>科目编码</w:t>
            </w:r>
          </w:p>
        </w:tc>
        <w:tc>
          <w:tcPr>
            <w:tcW w:w="1088"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科目名称</w:t>
            </w:r>
          </w:p>
        </w:tc>
        <w:tc>
          <w:tcPr>
            <w:tcW w:w="279"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决算数</w:t>
            </w:r>
          </w:p>
        </w:tc>
        <w:tc>
          <w:tcPr>
            <w:tcW w:w="245"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科目编码</w:t>
            </w:r>
          </w:p>
        </w:tc>
        <w:tc>
          <w:tcPr>
            <w:tcW w:w="754" w:type="pct"/>
            <w:gridSpan w:val="2"/>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科目名称</w:t>
            </w:r>
          </w:p>
        </w:tc>
        <w:tc>
          <w:tcPr>
            <w:tcW w:w="279"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决算数</w:t>
            </w:r>
          </w:p>
        </w:tc>
        <w:tc>
          <w:tcPr>
            <w:tcW w:w="245"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科目编码</w:t>
            </w:r>
          </w:p>
        </w:tc>
        <w:tc>
          <w:tcPr>
            <w:tcW w:w="1364" w:type="pct"/>
            <w:gridSpan w:val="3"/>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科目名称</w:t>
            </w:r>
          </w:p>
        </w:tc>
        <w:tc>
          <w:tcPr>
            <w:tcW w:w="501" w:type="pct"/>
            <w:vMerge w:val="restart"/>
            <w:tcBorders>
              <w:top w:val="nil"/>
              <w:left w:val="nil"/>
              <w:bottom w:val="single" w:sz="4" w:space="0" w:color="000000"/>
              <w:right w:val="single" w:sz="4" w:space="0" w:color="000000"/>
            </w:tcBorders>
            <w:shd w:val="clear" w:color="auto" w:fill="auto"/>
            <w:vAlign w:val="center"/>
            <w:hideMark/>
          </w:tcPr>
          <w:p w:rsidR="00CB61B1" w:rsidRPr="00CB61B1" w:rsidRDefault="00CB61B1" w:rsidP="00CB61B1">
            <w:pPr>
              <w:jc w:val="center"/>
              <w:rPr>
                <w:rFonts w:cs="Arial"/>
                <w:sz w:val="18"/>
                <w:szCs w:val="20"/>
              </w:rPr>
            </w:pPr>
            <w:r w:rsidRPr="00CB61B1">
              <w:rPr>
                <w:rFonts w:cs="Arial" w:hint="eastAsia"/>
                <w:sz w:val="18"/>
                <w:szCs w:val="20"/>
              </w:rPr>
              <w:t>决算数</w:t>
            </w:r>
          </w:p>
        </w:tc>
      </w:tr>
      <w:tr w:rsidR="00CB61B1" w:rsidRPr="00CB61B1" w:rsidTr="00CB61B1">
        <w:trPr>
          <w:trHeight w:val="300"/>
        </w:trPr>
        <w:tc>
          <w:tcPr>
            <w:tcW w:w="245" w:type="pct"/>
            <w:vMerge/>
            <w:tcBorders>
              <w:top w:val="nil"/>
              <w:left w:val="single" w:sz="4" w:space="0" w:color="000000"/>
              <w:bottom w:val="single" w:sz="4" w:space="0" w:color="000000"/>
              <w:right w:val="single" w:sz="4" w:space="0" w:color="000000"/>
            </w:tcBorders>
            <w:vAlign w:val="center"/>
            <w:hideMark/>
          </w:tcPr>
          <w:p w:rsidR="00CB61B1" w:rsidRPr="00CB61B1" w:rsidRDefault="00CB61B1" w:rsidP="00CB61B1">
            <w:pPr>
              <w:rPr>
                <w:rFonts w:cs="Arial"/>
                <w:sz w:val="20"/>
                <w:szCs w:val="20"/>
              </w:rPr>
            </w:pPr>
          </w:p>
        </w:tc>
        <w:tc>
          <w:tcPr>
            <w:tcW w:w="1088"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279"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245"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754" w:type="pct"/>
            <w:gridSpan w:val="2"/>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279"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245"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1364" w:type="pct"/>
            <w:gridSpan w:val="3"/>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c>
          <w:tcPr>
            <w:tcW w:w="501" w:type="pct"/>
            <w:vMerge/>
            <w:tcBorders>
              <w:top w:val="nil"/>
              <w:left w:val="nil"/>
              <w:bottom w:val="single" w:sz="4" w:space="0" w:color="000000"/>
              <w:right w:val="single" w:sz="4" w:space="0" w:color="000000"/>
            </w:tcBorders>
            <w:vAlign w:val="center"/>
            <w:hideMark/>
          </w:tcPr>
          <w:p w:rsidR="00CB61B1" w:rsidRPr="00CB61B1" w:rsidRDefault="00CB61B1" w:rsidP="00CB61B1">
            <w:pPr>
              <w:rPr>
                <w:rFonts w:cs="Arial"/>
                <w:sz w:val="18"/>
                <w:szCs w:val="20"/>
              </w:rPr>
            </w:pP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工资福利支出</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839.75</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商品和服务支出</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323.35</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30703</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国内债务发行费用</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30101</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基本工资</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139.19</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30201</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办公费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15.81</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30704</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国外债务发行费用</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30102</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津贴补贴</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52.38</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30202</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印刷费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资本性支出</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2.55</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30103</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奖金</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30203</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咨询费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31001</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房屋建筑物购建</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30106</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伙食补助费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30204</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手续费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0.07</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31002</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办公设备购置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2.55</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30107</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绩效工资</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171.03</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30205</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8.82</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31003</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专用设备购置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30108</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机关事业单位基本养老保险缴费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49.67</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30206</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电费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19.99</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31005</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基础设施建设</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30109</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职业年金缴费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24.83</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30207</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邮电费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11.69</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31006</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大型修缮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30110</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职工基本医疗保险缴费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18.75</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30208</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取暖费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31007</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信息网络及软件购置更新</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30111</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公务员医疗补助缴费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5.75</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30209</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物业管理费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128.70</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31008</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物资储备</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30112</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其他社会保障缴费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8.62</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30211</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差旅费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7.44</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31009</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土地补偿</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30113</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住房公积金</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67.89</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30212</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因公出国（境）费用</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31010</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安置补助</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30114</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医疗费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5.02</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30213</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维修（护）费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40.61</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31011</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地上附着物和青苗补偿</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30199</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其他工资福利支出</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296.61</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30214</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租赁费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31012</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拆迁补偿</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对个人和家庭的补助</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25.14</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30215</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会议费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31013</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公务用车购置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30301</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离休费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30216</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培训费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1.57</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31019</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其他交通工具购置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30302</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退休费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30217</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公务接待费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0.34</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31021</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文物和陈列品购置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30303</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退职（役）费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30218</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专用材料费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31022</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无形资产购置</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CB61B1">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30304</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抚恤金</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30224</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被装购置费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31099</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其他资本性支出</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nil"/>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30305</w:t>
            </w:r>
          </w:p>
        </w:tc>
        <w:tc>
          <w:tcPr>
            <w:tcW w:w="1088"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生活补助</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20.80</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30225</w:t>
            </w:r>
          </w:p>
        </w:tc>
        <w:tc>
          <w:tcPr>
            <w:tcW w:w="754" w:type="pct"/>
            <w:gridSpan w:val="2"/>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专用燃料费</w:t>
            </w:r>
          </w:p>
        </w:tc>
        <w:tc>
          <w:tcPr>
            <w:tcW w:w="279"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w:t>
            </w:r>
          </w:p>
        </w:tc>
        <w:tc>
          <w:tcPr>
            <w:tcW w:w="1364" w:type="pct"/>
            <w:gridSpan w:val="3"/>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对企业补助</w:t>
            </w:r>
          </w:p>
        </w:tc>
        <w:tc>
          <w:tcPr>
            <w:tcW w:w="501" w:type="pct"/>
            <w:tcBorders>
              <w:top w:val="nil"/>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lastRenderedPageBreak/>
              <w:t>30306</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救济费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30226</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劳务费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0.21</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31201</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资本金注入</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30307</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医疗费补助</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2.60</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30227</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委托业务费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31203</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政府投资基金股权投资</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30308</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助学金</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30228</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工会经费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12.34</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31204</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费用补贴</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30309</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奖励金</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30229</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福利费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39.10</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31205</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利息补贴</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30310</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个人农业生产补贴</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30231</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公务用车运行维护费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3.70</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31299</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其他对企业补助</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30311</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代缴社会保险费</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30239</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其他交通费用</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399</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其他支出</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30399</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其他对个人和家庭的补助</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1.75</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30240</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税金及附加费用</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39906</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赠与</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 xml:space="preserve">　</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30299</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其他商品和服务支出</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32.96</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39907</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国家赔偿费用支出</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 xml:space="preserve">　</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307</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债务利息及费用支出</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39908</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对民间非营利组织和群众性自治组织补贴</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 xml:space="preserve">　</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30701</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国内债务付息</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39999</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其他支出</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 xml:space="preserve">　</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30702</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国外债务付息</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 xml:space="preserve">　</w:t>
            </w:r>
          </w:p>
        </w:tc>
        <w:tc>
          <w:tcPr>
            <w:tcW w:w="1088"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75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245"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1364"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rPr>
                <w:rFonts w:cs="Arial"/>
                <w:sz w:val="18"/>
                <w:szCs w:val="20"/>
              </w:rPr>
            </w:pPr>
            <w:r w:rsidRPr="00CB61B1">
              <w:rPr>
                <w:rFonts w:cs="Arial" w:hint="eastAsia"/>
                <w:sz w:val="18"/>
                <w:szCs w:val="20"/>
              </w:rPr>
              <w:t xml:space="preserve">　</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 xml:space="preserve">　</w:t>
            </w:r>
          </w:p>
        </w:tc>
      </w:tr>
      <w:tr w:rsidR="00CB61B1" w:rsidRPr="00CB61B1" w:rsidTr="0085752F">
        <w:trPr>
          <w:trHeight w:val="300"/>
        </w:trPr>
        <w:tc>
          <w:tcPr>
            <w:tcW w:w="13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61B1" w:rsidRPr="00CB61B1" w:rsidRDefault="00CB61B1" w:rsidP="00CB61B1">
            <w:pPr>
              <w:jc w:val="center"/>
              <w:rPr>
                <w:rFonts w:cs="Arial"/>
                <w:sz w:val="18"/>
                <w:szCs w:val="20"/>
              </w:rPr>
            </w:pPr>
            <w:r w:rsidRPr="00CB61B1">
              <w:rPr>
                <w:rFonts w:cs="Arial" w:hint="eastAsia"/>
                <w:sz w:val="18"/>
                <w:szCs w:val="20"/>
              </w:rPr>
              <w:t>人员经费合计</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864.90</w:t>
            </w:r>
          </w:p>
        </w:tc>
        <w:tc>
          <w:tcPr>
            <w:tcW w:w="2887" w:type="pct"/>
            <w:gridSpan w:val="8"/>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center"/>
              <w:rPr>
                <w:rFonts w:cs="Arial"/>
                <w:sz w:val="18"/>
                <w:szCs w:val="20"/>
              </w:rPr>
            </w:pPr>
            <w:r w:rsidRPr="00CB61B1">
              <w:rPr>
                <w:rFonts w:cs="Arial" w:hint="eastAsia"/>
                <w:sz w:val="18"/>
                <w:szCs w:val="20"/>
              </w:rPr>
              <w:t>公用经费合计</w:t>
            </w:r>
          </w:p>
        </w:tc>
        <w:tc>
          <w:tcPr>
            <w:tcW w:w="501" w:type="pct"/>
            <w:tcBorders>
              <w:top w:val="single" w:sz="4" w:space="0" w:color="000000"/>
              <w:left w:val="nil"/>
              <w:bottom w:val="single" w:sz="4" w:space="0" w:color="000000"/>
              <w:right w:val="single" w:sz="4" w:space="0" w:color="000000"/>
            </w:tcBorders>
            <w:shd w:val="clear" w:color="auto" w:fill="auto"/>
            <w:noWrap/>
            <w:vAlign w:val="center"/>
            <w:hideMark/>
          </w:tcPr>
          <w:p w:rsidR="00CB61B1" w:rsidRPr="00CB61B1" w:rsidRDefault="00CB61B1" w:rsidP="00CB61B1">
            <w:pPr>
              <w:jc w:val="right"/>
              <w:rPr>
                <w:rFonts w:cs="Arial"/>
                <w:sz w:val="18"/>
                <w:szCs w:val="20"/>
              </w:rPr>
            </w:pPr>
            <w:r w:rsidRPr="00CB61B1">
              <w:rPr>
                <w:rFonts w:cs="Arial" w:hint="eastAsia"/>
                <w:sz w:val="18"/>
                <w:szCs w:val="20"/>
              </w:rPr>
              <w:t>325.91</w:t>
            </w:r>
          </w:p>
        </w:tc>
      </w:tr>
      <w:tr w:rsidR="00CB61B1" w:rsidRPr="00CB61B1" w:rsidTr="00CB61B1">
        <w:trPr>
          <w:trHeight w:val="300"/>
        </w:trPr>
        <w:tc>
          <w:tcPr>
            <w:tcW w:w="5000" w:type="pct"/>
            <w:gridSpan w:val="12"/>
            <w:tcBorders>
              <w:top w:val="nil"/>
              <w:left w:val="nil"/>
              <w:bottom w:val="nil"/>
              <w:right w:val="nil"/>
            </w:tcBorders>
            <w:shd w:val="clear" w:color="auto" w:fill="auto"/>
            <w:noWrap/>
            <w:vAlign w:val="center"/>
            <w:hideMark/>
          </w:tcPr>
          <w:p w:rsidR="00CB61B1" w:rsidRPr="00CB61B1" w:rsidRDefault="00CB61B1" w:rsidP="00CB61B1">
            <w:pPr>
              <w:rPr>
                <w:rFonts w:cs="Arial"/>
                <w:sz w:val="20"/>
                <w:szCs w:val="20"/>
              </w:rPr>
            </w:pPr>
            <w:r w:rsidRPr="00CB61B1">
              <w:rPr>
                <w:rFonts w:cs="Arial" w:hint="eastAsia"/>
                <w:sz w:val="20"/>
                <w:szCs w:val="20"/>
              </w:rPr>
              <w:t>注：本表反映本年度一般公共预算财政拨款基本支出明细情况。</w:t>
            </w:r>
          </w:p>
        </w:tc>
      </w:tr>
    </w:tbl>
    <w:p w:rsidR="00CB61B1" w:rsidRDefault="00CB61B1" w:rsidP="000701A8">
      <w:pPr>
        <w:jc w:val="center"/>
        <w:rPr>
          <w:rFonts w:ascii="黑体" w:eastAsia="黑体" w:hAnsi="黑体" w:cs="Arial"/>
          <w:sz w:val="30"/>
          <w:szCs w:val="30"/>
        </w:rPr>
      </w:pPr>
    </w:p>
    <w:p w:rsidR="00CB61B1" w:rsidRDefault="00CB61B1" w:rsidP="000701A8">
      <w:pPr>
        <w:jc w:val="center"/>
        <w:rPr>
          <w:rFonts w:ascii="黑体" w:eastAsia="黑体" w:hAnsi="黑体" w:cs="Arial"/>
          <w:sz w:val="30"/>
          <w:szCs w:val="30"/>
        </w:rPr>
      </w:pPr>
    </w:p>
    <w:p w:rsidR="00CB61B1" w:rsidRDefault="00CB61B1" w:rsidP="000701A8">
      <w:pPr>
        <w:jc w:val="center"/>
        <w:rPr>
          <w:rFonts w:ascii="黑体" w:eastAsia="黑体" w:hAnsi="黑体" w:cs="Arial"/>
          <w:sz w:val="30"/>
          <w:szCs w:val="30"/>
        </w:rPr>
      </w:pPr>
    </w:p>
    <w:p w:rsidR="00CB61B1" w:rsidRDefault="00CB61B1" w:rsidP="000701A8">
      <w:pPr>
        <w:jc w:val="center"/>
        <w:rPr>
          <w:rFonts w:ascii="黑体" w:eastAsia="黑体" w:hAnsi="黑体" w:cs="Arial"/>
          <w:sz w:val="30"/>
          <w:szCs w:val="30"/>
        </w:rPr>
      </w:pPr>
    </w:p>
    <w:p w:rsidR="00CB61B1" w:rsidRDefault="00CB61B1" w:rsidP="000701A8">
      <w:pPr>
        <w:jc w:val="center"/>
        <w:rPr>
          <w:rFonts w:ascii="黑体" w:eastAsia="黑体" w:hAnsi="黑体" w:cs="Arial"/>
          <w:sz w:val="30"/>
          <w:szCs w:val="30"/>
        </w:rPr>
      </w:pPr>
    </w:p>
    <w:p w:rsidR="00CB61B1" w:rsidRPr="00CB61B1" w:rsidRDefault="00CB61B1" w:rsidP="000701A8">
      <w:pPr>
        <w:jc w:val="center"/>
        <w:rPr>
          <w:rFonts w:ascii="黑体" w:eastAsia="黑体" w:hAnsi="黑体" w:cs="Arial"/>
          <w:sz w:val="30"/>
          <w:szCs w:val="30"/>
        </w:rPr>
      </w:pPr>
    </w:p>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一般公共预算财政拨款“三公”经费支出决算表</w:t>
      </w:r>
    </w:p>
    <w:tbl>
      <w:tblPr>
        <w:tblW w:w="5000" w:type="pct"/>
        <w:tblLook w:val="04A0"/>
      </w:tblPr>
      <w:tblGrid>
        <w:gridCol w:w="7354"/>
        <w:gridCol w:w="3411"/>
        <w:gridCol w:w="3411"/>
      </w:tblGrid>
      <w:tr w:rsidR="00CE5977" w:rsidRPr="00CE5977" w:rsidTr="00CE5977">
        <w:trPr>
          <w:trHeight w:val="270"/>
        </w:trPr>
        <w:tc>
          <w:tcPr>
            <w:tcW w:w="259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203"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203" w:type="pct"/>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公开09表</w:t>
            </w:r>
          </w:p>
        </w:tc>
      </w:tr>
      <w:tr w:rsidR="00CE5977" w:rsidRPr="00CE5977" w:rsidTr="00CE5977">
        <w:trPr>
          <w:trHeight w:val="270"/>
        </w:trPr>
        <w:tc>
          <w:tcPr>
            <w:tcW w:w="259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编制单位：浙江革命烈士纪念馆</w:t>
            </w:r>
          </w:p>
        </w:tc>
        <w:tc>
          <w:tcPr>
            <w:tcW w:w="1203"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1203" w:type="pct"/>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项  目</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预算数</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决算数</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“三公”经费支出</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8.34</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4.04</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 xml:space="preserve">  1．因公出国（境）费</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 xml:space="preserve">  2．公务用车购置及运行维护费</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8.00</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3.70</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 xml:space="preserve">    （1）公务用车购置费</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 xml:space="preserve">    （2）公务用车运行维护费</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8.00</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3.70</w:t>
            </w:r>
          </w:p>
        </w:tc>
      </w:tr>
      <w:tr w:rsidR="00CE5977" w:rsidRPr="00CE5977" w:rsidTr="00CE5977">
        <w:trPr>
          <w:trHeight w:val="300"/>
        </w:trPr>
        <w:tc>
          <w:tcPr>
            <w:tcW w:w="2594" w:type="pc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 xml:space="preserve">  3．公务接待费</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0.34</w:t>
            </w:r>
          </w:p>
        </w:tc>
        <w:tc>
          <w:tcPr>
            <w:tcW w:w="1203"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0.34</w:t>
            </w:r>
          </w:p>
        </w:tc>
      </w:tr>
      <w:tr w:rsidR="00CE5977" w:rsidRPr="00CE5977" w:rsidTr="00CE5977">
        <w:trPr>
          <w:trHeight w:val="1005"/>
        </w:trPr>
        <w:tc>
          <w:tcPr>
            <w:tcW w:w="5000" w:type="pct"/>
            <w:gridSpan w:val="3"/>
            <w:tcBorders>
              <w:top w:val="nil"/>
              <w:left w:val="nil"/>
              <w:bottom w:val="nil"/>
              <w:right w:val="nil"/>
            </w:tcBorders>
            <w:shd w:val="clear" w:color="auto" w:fill="auto"/>
            <w:vAlign w:val="center"/>
            <w:hideMark/>
          </w:tcPr>
          <w:p w:rsidR="00CE5977" w:rsidRPr="00CE5977" w:rsidRDefault="00CE5977" w:rsidP="00CE5977">
            <w:pPr>
              <w:rPr>
                <w:rFonts w:cs="Arial"/>
                <w:sz w:val="20"/>
                <w:szCs w:val="20"/>
              </w:rPr>
            </w:pPr>
            <w:r w:rsidRPr="00CE5977">
              <w:rPr>
                <w:rFonts w:cs="Arial" w:hint="eastAsia"/>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w:t>
            </w:r>
          </w:p>
        </w:tc>
      </w:tr>
    </w:tbl>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Fonts w:ascii="黑体" w:eastAsia="黑体" w:hAnsi="黑体" w:cs="Arial"/>
          <w:sz w:val="30"/>
          <w:szCs w:val="30"/>
        </w:rPr>
      </w:pPr>
      <w:r w:rsidRPr="00AF60D8">
        <w:rPr>
          <w:rFonts w:ascii="黑体" w:eastAsia="黑体" w:hAnsi="黑体" w:cs="Arial"/>
          <w:sz w:val="30"/>
          <w:szCs w:val="30"/>
        </w:rPr>
        <w:lastRenderedPageBreak/>
        <w:t>政府性基金预算财政拨款收入支出决算表</w:t>
      </w:r>
    </w:p>
    <w:tbl>
      <w:tblPr>
        <w:tblW w:w="5000" w:type="pct"/>
        <w:tblLook w:val="04A0"/>
      </w:tblPr>
      <w:tblGrid>
        <w:gridCol w:w="417"/>
        <w:gridCol w:w="417"/>
        <w:gridCol w:w="417"/>
        <w:gridCol w:w="3428"/>
        <w:gridCol w:w="1548"/>
        <w:gridCol w:w="1548"/>
        <w:gridCol w:w="1548"/>
        <w:gridCol w:w="1548"/>
        <w:gridCol w:w="1549"/>
        <w:gridCol w:w="1756"/>
      </w:tblGrid>
      <w:tr w:rsidR="00CE5977" w:rsidRPr="00CE5977" w:rsidTr="00CE5977">
        <w:trPr>
          <w:trHeight w:val="270"/>
        </w:trPr>
        <w:tc>
          <w:tcPr>
            <w:tcW w:w="130"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30"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30"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1227"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rPr>
                <w:rFonts w:cs="Arial"/>
                <w:sz w:val="18"/>
                <w:szCs w:val="18"/>
              </w:rPr>
            </w:pPr>
          </w:p>
        </w:tc>
        <w:tc>
          <w:tcPr>
            <w:tcW w:w="564" w:type="pct"/>
            <w:tcBorders>
              <w:top w:val="nil"/>
              <w:left w:val="nil"/>
              <w:bottom w:val="nil"/>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公开10表</w:t>
            </w:r>
          </w:p>
        </w:tc>
      </w:tr>
      <w:tr w:rsidR="00CE5977" w:rsidRPr="00CE5977" w:rsidTr="00CE5977">
        <w:trPr>
          <w:trHeight w:val="270"/>
        </w:trPr>
        <w:tc>
          <w:tcPr>
            <w:tcW w:w="1618" w:type="pct"/>
            <w:gridSpan w:val="4"/>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22"/>
                <w:szCs w:val="22"/>
              </w:rPr>
            </w:pPr>
            <w:r w:rsidRPr="00CE5977">
              <w:rPr>
                <w:rFonts w:cs="Arial" w:hint="eastAsia"/>
                <w:sz w:val="22"/>
                <w:szCs w:val="22"/>
              </w:rPr>
              <w:t>编制单位：浙江革命烈士纪念馆</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rPr>
                <w:rFonts w:cs="Arial"/>
                <w:sz w:val="18"/>
                <w:szCs w:val="18"/>
              </w:rPr>
            </w:pPr>
            <w:r w:rsidRPr="00CE5977">
              <w:rPr>
                <w:rFonts w:cs="Arial" w:hint="eastAsia"/>
                <w:sz w:val="18"/>
                <w:szCs w:val="18"/>
              </w:rPr>
              <w:t xml:space="preserve">　</w:t>
            </w:r>
          </w:p>
        </w:tc>
        <w:tc>
          <w:tcPr>
            <w:tcW w:w="564" w:type="pct"/>
            <w:tcBorders>
              <w:top w:val="nil"/>
              <w:left w:val="nil"/>
              <w:bottom w:val="single" w:sz="4" w:space="0" w:color="808080"/>
              <w:right w:val="nil"/>
            </w:tcBorders>
            <w:shd w:val="clear" w:color="auto" w:fill="auto"/>
            <w:noWrap/>
            <w:vAlign w:val="center"/>
            <w:hideMark/>
          </w:tcPr>
          <w:p w:rsidR="00CE5977" w:rsidRPr="00CE5977" w:rsidRDefault="00CE5977" w:rsidP="00CE5977">
            <w:pPr>
              <w:jc w:val="right"/>
              <w:rPr>
                <w:rFonts w:cs="Arial"/>
                <w:sz w:val="22"/>
                <w:szCs w:val="22"/>
              </w:rPr>
            </w:pPr>
            <w:r w:rsidRPr="00CE5977">
              <w:rPr>
                <w:rFonts w:cs="Arial" w:hint="eastAsia"/>
                <w:sz w:val="22"/>
                <w:szCs w:val="22"/>
              </w:rPr>
              <w:t>金额单位：万元</w:t>
            </w:r>
          </w:p>
        </w:tc>
      </w:tr>
      <w:tr w:rsidR="00CE5977" w:rsidRPr="00CE5977" w:rsidTr="00CE5977">
        <w:trPr>
          <w:trHeight w:val="300"/>
        </w:trPr>
        <w:tc>
          <w:tcPr>
            <w:tcW w:w="1618"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项目</w:t>
            </w:r>
          </w:p>
        </w:tc>
        <w:tc>
          <w:tcPr>
            <w:tcW w:w="564"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年初结转和结余</w:t>
            </w:r>
          </w:p>
        </w:tc>
        <w:tc>
          <w:tcPr>
            <w:tcW w:w="564"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本年收入</w:t>
            </w:r>
          </w:p>
        </w:tc>
        <w:tc>
          <w:tcPr>
            <w:tcW w:w="1691" w:type="pct"/>
            <w:gridSpan w:val="3"/>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本年支出</w:t>
            </w:r>
          </w:p>
        </w:tc>
        <w:tc>
          <w:tcPr>
            <w:tcW w:w="564"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年末结转和结余</w:t>
            </w:r>
          </w:p>
        </w:tc>
      </w:tr>
      <w:tr w:rsidR="00CE5977" w:rsidRPr="00CE5977" w:rsidTr="00CE5977">
        <w:trPr>
          <w:trHeight w:val="300"/>
        </w:trPr>
        <w:tc>
          <w:tcPr>
            <w:tcW w:w="391"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支出功能分类科目编码</w:t>
            </w:r>
          </w:p>
        </w:tc>
        <w:tc>
          <w:tcPr>
            <w:tcW w:w="1227"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科目名称</w:t>
            </w: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小计</w:t>
            </w:r>
          </w:p>
        </w:tc>
        <w:tc>
          <w:tcPr>
            <w:tcW w:w="564"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基本支出</w:t>
            </w:r>
          </w:p>
        </w:tc>
        <w:tc>
          <w:tcPr>
            <w:tcW w:w="564" w:type="pct"/>
            <w:vMerge w:val="restar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项目支出</w:t>
            </w: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391"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2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391" w:type="pct"/>
            <w:gridSpan w:val="3"/>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27"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564"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r>
      <w:tr w:rsidR="00CE5977" w:rsidRPr="00CE5977" w:rsidTr="00CE5977">
        <w:trPr>
          <w:trHeight w:val="300"/>
        </w:trPr>
        <w:tc>
          <w:tcPr>
            <w:tcW w:w="13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类</w:t>
            </w:r>
          </w:p>
        </w:tc>
        <w:tc>
          <w:tcPr>
            <w:tcW w:w="130"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款</w:t>
            </w:r>
          </w:p>
        </w:tc>
        <w:tc>
          <w:tcPr>
            <w:tcW w:w="130" w:type="pct"/>
            <w:vMerge w:val="restar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项</w:t>
            </w:r>
          </w:p>
        </w:tc>
        <w:tc>
          <w:tcPr>
            <w:tcW w:w="1227"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栏次</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1</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2</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3</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4</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5</w:t>
            </w:r>
          </w:p>
        </w:tc>
        <w:tc>
          <w:tcPr>
            <w:tcW w:w="564" w:type="pct"/>
            <w:tcBorders>
              <w:top w:val="nil"/>
              <w:left w:val="nil"/>
              <w:bottom w:val="single" w:sz="4" w:space="0" w:color="000000"/>
              <w:right w:val="single" w:sz="4" w:space="0" w:color="000000"/>
            </w:tcBorders>
            <w:shd w:val="clear" w:color="auto" w:fill="auto"/>
            <w:vAlign w:val="center"/>
            <w:hideMark/>
          </w:tcPr>
          <w:p w:rsidR="00CE5977" w:rsidRPr="00CE5977" w:rsidRDefault="00CE5977" w:rsidP="00CE5977">
            <w:pPr>
              <w:jc w:val="center"/>
              <w:rPr>
                <w:rFonts w:cs="Arial"/>
                <w:sz w:val="20"/>
                <w:szCs w:val="20"/>
              </w:rPr>
            </w:pPr>
            <w:r w:rsidRPr="00CE5977">
              <w:rPr>
                <w:rFonts w:cs="Arial" w:hint="eastAsia"/>
                <w:sz w:val="20"/>
                <w:szCs w:val="20"/>
              </w:rPr>
              <w:t>6</w:t>
            </w:r>
          </w:p>
        </w:tc>
      </w:tr>
      <w:tr w:rsidR="00CE5977" w:rsidRPr="00CE5977" w:rsidTr="00CE5977">
        <w:trPr>
          <w:trHeight w:val="300"/>
        </w:trPr>
        <w:tc>
          <w:tcPr>
            <w:tcW w:w="130" w:type="pct"/>
            <w:vMerge/>
            <w:tcBorders>
              <w:top w:val="nil"/>
              <w:left w:val="single" w:sz="4" w:space="0" w:color="000000"/>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3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30" w:type="pct"/>
            <w:vMerge/>
            <w:tcBorders>
              <w:top w:val="nil"/>
              <w:left w:val="nil"/>
              <w:bottom w:val="single" w:sz="4" w:space="0" w:color="000000"/>
              <w:right w:val="single" w:sz="4" w:space="0" w:color="000000"/>
            </w:tcBorders>
            <w:vAlign w:val="center"/>
            <w:hideMark/>
          </w:tcPr>
          <w:p w:rsidR="00CE5977" w:rsidRPr="00CE5977" w:rsidRDefault="00CE5977" w:rsidP="00CE5977">
            <w:pPr>
              <w:rPr>
                <w:rFonts w:cs="Arial"/>
                <w:sz w:val="20"/>
                <w:szCs w:val="20"/>
              </w:rPr>
            </w:pPr>
          </w:p>
        </w:tc>
        <w:tc>
          <w:tcPr>
            <w:tcW w:w="1227"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center"/>
              <w:rPr>
                <w:rFonts w:cs="Arial"/>
                <w:sz w:val="20"/>
                <w:szCs w:val="20"/>
              </w:rPr>
            </w:pPr>
            <w:r w:rsidRPr="00CE5977">
              <w:rPr>
                <w:rFonts w:cs="Arial" w:hint="eastAsia"/>
                <w:sz w:val="20"/>
                <w:szCs w:val="20"/>
              </w:rPr>
              <w:t>合计</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3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1227"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rsidR="00CE5977" w:rsidRPr="00CE5977" w:rsidRDefault="00CE5977" w:rsidP="00CE5977">
            <w:pPr>
              <w:jc w:val="right"/>
              <w:rPr>
                <w:rFonts w:cs="Arial"/>
                <w:sz w:val="20"/>
                <w:szCs w:val="20"/>
              </w:rPr>
            </w:pPr>
            <w:r w:rsidRPr="00CE5977">
              <w:rPr>
                <w:rFonts w:cs="Arial" w:hint="eastAsia"/>
                <w:sz w:val="20"/>
                <w:szCs w:val="20"/>
              </w:rPr>
              <w:t xml:space="preserve">　</w:t>
            </w:r>
          </w:p>
        </w:tc>
      </w:tr>
      <w:tr w:rsidR="00CE5977" w:rsidRPr="00CE5977" w:rsidTr="00CE5977">
        <w:trPr>
          <w:trHeight w:val="300"/>
        </w:trPr>
        <w:tc>
          <w:tcPr>
            <w:tcW w:w="5000" w:type="pct"/>
            <w:gridSpan w:val="10"/>
            <w:tcBorders>
              <w:top w:val="nil"/>
              <w:left w:val="nil"/>
              <w:bottom w:val="nil"/>
              <w:right w:val="nil"/>
            </w:tcBorders>
            <w:shd w:val="clear" w:color="auto" w:fill="auto"/>
            <w:noWrap/>
            <w:vAlign w:val="center"/>
            <w:hideMark/>
          </w:tcPr>
          <w:p w:rsidR="000864ED" w:rsidRDefault="00CE5977" w:rsidP="00CE5977">
            <w:pPr>
              <w:rPr>
                <w:rFonts w:cs="Arial"/>
                <w:sz w:val="20"/>
                <w:szCs w:val="20"/>
              </w:rPr>
            </w:pPr>
            <w:r w:rsidRPr="00CE5977">
              <w:rPr>
                <w:rFonts w:cs="Arial" w:hint="eastAsia"/>
                <w:sz w:val="20"/>
                <w:szCs w:val="20"/>
              </w:rPr>
              <w:t>注：本表反映本年度政府性基金预算财政拨款收入、支出及结转和结余情况。</w:t>
            </w:r>
          </w:p>
          <w:p w:rsidR="00CE5977" w:rsidRPr="00CE5977" w:rsidRDefault="000864ED" w:rsidP="00CE5977">
            <w:pPr>
              <w:rPr>
                <w:rFonts w:cs="Arial"/>
                <w:sz w:val="20"/>
                <w:szCs w:val="20"/>
              </w:rPr>
            </w:pPr>
            <w:r>
              <w:rPr>
                <w:rFonts w:cs="Arial" w:hint="eastAsia"/>
                <w:sz w:val="20"/>
                <w:szCs w:val="20"/>
              </w:rPr>
              <w:t xml:space="preserve">    </w:t>
            </w:r>
            <w:r w:rsidR="00CE5977" w:rsidRPr="00CE5977">
              <w:rPr>
                <w:rFonts w:cs="Arial" w:hint="eastAsia"/>
                <w:sz w:val="20"/>
                <w:szCs w:val="20"/>
              </w:rPr>
              <w:t>本单位2020年度无政府性基金预算财政拨款收支安排，故无相关数据。</w:t>
            </w:r>
          </w:p>
        </w:tc>
      </w:tr>
    </w:tbl>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CE5977" w:rsidP="000701A8">
      <w:pPr>
        <w:jc w:val="center"/>
        <w:rPr>
          <w:rStyle w:val="a3"/>
          <w:rFonts w:asciiTheme="minorEastAsia" w:eastAsiaTheme="minorEastAsia" w:hAnsiTheme="minorEastAsia" w:cs="黑体"/>
          <w:color w:val="auto"/>
          <w:sz w:val="32"/>
          <w:szCs w:val="32"/>
          <w:u w:val="none"/>
        </w:rPr>
      </w:pPr>
    </w:p>
    <w:p w:rsidR="00CE5977" w:rsidRDefault="000864ED" w:rsidP="000701A8">
      <w:pPr>
        <w:jc w:val="center"/>
        <w:rPr>
          <w:rFonts w:ascii="黑体" w:eastAsia="黑体" w:hAnsi="黑体" w:cs="Arial"/>
          <w:sz w:val="30"/>
          <w:szCs w:val="30"/>
        </w:rPr>
      </w:pPr>
      <w:r w:rsidRPr="00AF60D8">
        <w:rPr>
          <w:rFonts w:ascii="黑体" w:eastAsia="黑体" w:hAnsi="黑体" w:cs="Arial"/>
          <w:sz w:val="30"/>
          <w:szCs w:val="30"/>
        </w:rPr>
        <w:lastRenderedPageBreak/>
        <w:t>国有资本经营预算财政拨款支出决算表</w:t>
      </w:r>
    </w:p>
    <w:tbl>
      <w:tblPr>
        <w:tblW w:w="5000" w:type="pct"/>
        <w:tblLook w:val="04A0"/>
      </w:tblPr>
      <w:tblGrid>
        <w:gridCol w:w="558"/>
        <w:gridCol w:w="558"/>
        <w:gridCol w:w="559"/>
        <w:gridCol w:w="5259"/>
        <w:gridCol w:w="2416"/>
        <w:gridCol w:w="2416"/>
        <w:gridCol w:w="2410"/>
      </w:tblGrid>
      <w:tr w:rsidR="000864ED" w:rsidRPr="000864ED" w:rsidTr="000864ED">
        <w:trPr>
          <w:trHeight w:val="270"/>
        </w:trPr>
        <w:tc>
          <w:tcPr>
            <w:tcW w:w="197"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197"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197"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1855"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852"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852" w:type="pct"/>
            <w:tcBorders>
              <w:top w:val="nil"/>
              <w:left w:val="nil"/>
              <w:bottom w:val="nil"/>
              <w:right w:val="nil"/>
            </w:tcBorders>
            <w:shd w:val="clear" w:color="auto" w:fill="auto"/>
            <w:noWrap/>
            <w:vAlign w:val="center"/>
            <w:hideMark/>
          </w:tcPr>
          <w:p w:rsidR="000864ED" w:rsidRPr="000864ED" w:rsidRDefault="000864ED" w:rsidP="000864ED">
            <w:pPr>
              <w:rPr>
                <w:rFonts w:cs="Arial"/>
                <w:sz w:val="18"/>
                <w:szCs w:val="18"/>
              </w:rPr>
            </w:pPr>
          </w:p>
        </w:tc>
        <w:tc>
          <w:tcPr>
            <w:tcW w:w="850" w:type="pct"/>
            <w:tcBorders>
              <w:top w:val="nil"/>
              <w:left w:val="nil"/>
              <w:bottom w:val="nil"/>
              <w:right w:val="nil"/>
            </w:tcBorders>
            <w:shd w:val="clear" w:color="auto" w:fill="auto"/>
            <w:noWrap/>
            <w:vAlign w:val="center"/>
            <w:hideMark/>
          </w:tcPr>
          <w:p w:rsidR="000864ED" w:rsidRPr="000864ED" w:rsidRDefault="000864ED" w:rsidP="000864ED">
            <w:pPr>
              <w:jc w:val="right"/>
              <w:rPr>
                <w:rFonts w:cs="Arial"/>
                <w:sz w:val="22"/>
                <w:szCs w:val="22"/>
              </w:rPr>
            </w:pPr>
            <w:r w:rsidRPr="000864ED">
              <w:rPr>
                <w:rFonts w:cs="Arial" w:hint="eastAsia"/>
                <w:sz w:val="22"/>
                <w:szCs w:val="22"/>
              </w:rPr>
              <w:t>公开11表</w:t>
            </w:r>
          </w:p>
        </w:tc>
      </w:tr>
      <w:tr w:rsidR="000864ED" w:rsidRPr="000864ED" w:rsidTr="000864ED">
        <w:trPr>
          <w:trHeight w:val="270"/>
        </w:trPr>
        <w:tc>
          <w:tcPr>
            <w:tcW w:w="2446" w:type="pct"/>
            <w:gridSpan w:val="4"/>
            <w:tcBorders>
              <w:top w:val="nil"/>
              <w:left w:val="nil"/>
              <w:bottom w:val="single" w:sz="4" w:space="0" w:color="808080"/>
              <w:right w:val="nil"/>
            </w:tcBorders>
            <w:shd w:val="clear" w:color="auto" w:fill="auto"/>
            <w:noWrap/>
            <w:vAlign w:val="center"/>
            <w:hideMark/>
          </w:tcPr>
          <w:p w:rsidR="000864ED" w:rsidRPr="000864ED" w:rsidRDefault="000864ED" w:rsidP="000864ED">
            <w:pPr>
              <w:rPr>
                <w:rFonts w:cs="Arial"/>
                <w:sz w:val="22"/>
                <w:szCs w:val="22"/>
              </w:rPr>
            </w:pPr>
            <w:r w:rsidRPr="000864ED">
              <w:rPr>
                <w:rFonts w:cs="Arial" w:hint="eastAsia"/>
                <w:sz w:val="22"/>
                <w:szCs w:val="22"/>
              </w:rPr>
              <w:t>部门：浙江革命烈士纪念馆</w:t>
            </w:r>
          </w:p>
        </w:tc>
        <w:tc>
          <w:tcPr>
            <w:tcW w:w="852" w:type="pct"/>
            <w:tcBorders>
              <w:top w:val="nil"/>
              <w:left w:val="nil"/>
              <w:bottom w:val="single" w:sz="4" w:space="0" w:color="808080"/>
              <w:right w:val="nil"/>
            </w:tcBorders>
            <w:shd w:val="clear" w:color="auto" w:fill="auto"/>
            <w:noWrap/>
            <w:vAlign w:val="center"/>
            <w:hideMark/>
          </w:tcPr>
          <w:p w:rsidR="000864ED" w:rsidRPr="000864ED" w:rsidRDefault="000864ED" w:rsidP="000864ED">
            <w:pPr>
              <w:rPr>
                <w:rFonts w:cs="Arial"/>
                <w:sz w:val="18"/>
                <w:szCs w:val="18"/>
              </w:rPr>
            </w:pPr>
            <w:r w:rsidRPr="000864ED">
              <w:rPr>
                <w:rFonts w:cs="Arial" w:hint="eastAsia"/>
                <w:sz w:val="18"/>
                <w:szCs w:val="18"/>
              </w:rPr>
              <w:t xml:space="preserve">　</w:t>
            </w:r>
          </w:p>
        </w:tc>
        <w:tc>
          <w:tcPr>
            <w:tcW w:w="852" w:type="pct"/>
            <w:tcBorders>
              <w:top w:val="nil"/>
              <w:left w:val="nil"/>
              <w:bottom w:val="single" w:sz="4" w:space="0" w:color="808080"/>
              <w:right w:val="nil"/>
            </w:tcBorders>
            <w:shd w:val="clear" w:color="auto" w:fill="auto"/>
            <w:noWrap/>
            <w:vAlign w:val="center"/>
            <w:hideMark/>
          </w:tcPr>
          <w:p w:rsidR="000864ED" w:rsidRPr="000864ED" w:rsidRDefault="000864ED" w:rsidP="000864ED">
            <w:pPr>
              <w:rPr>
                <w:rFonts w:cs="Arial"/>
                <w:sz w:val="18"/>
                <w:szCs w:val="18"/>
              </w:rPr>
            </w:pPr>
            <w:r w:rsidRPr="000864ED">
              <w:rPr>
                <w:rFonts w:cs="Arial" w:hint="eastAsia"/>
                <w:sz w:val="18"/>
                <w:szCs w:val="18"/>
              </w:rPr>
              <w:t xml:space="preserve">　</w:t>
            </w:r>
          </w:p>
        </w:tc>
        <w:tc>
          <w:tcPr>
            <w:tcW w:w="850" w:type="pct"/>
            <w:tcBorders>
              <w:top w:val="nil"/>
              <w:left w:val="nil"/>
              <w:bottom w:val="single" w:sz="4" w:space="0" w:color="808080"/>
              <w:right w:val="nil"/>
            </w:tcBorders>
            <w:shd w:val="clear" w:color="auto" w:fill="auto"/>
            <w:noWrap/>
            <w:vAlign w:val="center"/>
            <w:hideMark/>
          </w:tcPr>
          <w:p w:rsidR="000864ED" w:rsidRPr="000864ED" w:rsidRDefault="000864ED" w:rsidP="000864ED">
            <w:pPr>
              <w:jc w:val="right"/>
              <w:rPr>
                <w:rFonts w:cs="Arial"/>
                <w:sz w:val="22"/>
                <w:szCs w:val="22"/>
              </w:rPr>
            </w:pPr>
            <w:r w:rsidRPr="000864ED">
              <w:rPr>
                <w:rFonts w:cs="Arial" w:hint="eastAsia"/>
                <w:sz w:val="22"/>
                <w:szCs w:val="22"/>
              </w:rPr>
              <w:t>金额单位：万元</w:t>
            </w:r>
          </w:p>
        </w:tc>
      </w:tr>
      <w:tr w:rsidR="000864ED" w:rsidRPr="000864ED" w:rsidTr="000864ED">
        <w:trPr>
          <w:trHeight w:val="300"/>
        </w:trPr>
        <w:tc>
          <w:tcPr>
            <w:tcW w:w="2446"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0864ED" w:rsidRPr="000864ED" w:rsidRDefault="000864ED" w:rsidP="000864ED">
            <w:pPr>
              <w:rPr>
                <w:rFonts w:cs="Arial"/>
                <w:sz w:val="20"/>
                <w:szCs w:val="20"/>
              </w:rPr>
            </w:pPr>
            <w:r w:rsidRPr="000864ED">
              <w:rPr>
                <w:rFonts w:cs="Arial" w:hint="eastAsia"/>
                <w:sz w:val="20"/>
                <w:szCs w:val="20"/>
              </w:rPr>
              <w:t>项目</w:t>
            </w:r>
          </w:p>
        </w:tc>
        <w:tc>
          <w:tcPr>
            <w:tcW w:w="2554" w:type="pct"/>
            <w:gridSpan w:val="3"/>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本年支出</w:t>
            </w:r>
          </w:p>
        </w:tc>
      </w:tr>
      <w:tr w:rsidR="000864ED" w:rsidRPr="000864ED" w:rsidTr="000864ED">
        <w:trPr>
          <w:trHeight w:val="300"/>
        </w:trPr>
        <w:tc>
          <w:tcPr>
            <w:tcW w:w="591"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支出功能分类科目编码</w:t>
            </w:r>
          </w:p>
        </w:tc>
        <w:tc>
          <w:tcPr>
            <w:tcW w:w="1855" w:type="pct"/>
            <w:vMerge w:val="restar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center"/>
              <w:rPr>
                <w:rFonts w:cs="Arial"/>
                <w:sz w:val="20"/>
                <w:szCs w:val="20"/>
              </w:rPr>
            </w:pPr>
            <w:r w:rsidRPr="000864ED">
              <w:rPr>
                <w:rFonts w:cs="Arial" w:hint="eastAsia"/>
                <w:sz w:val="20"/>
                <w:szCs w:val="20"/>
              </w:rPr>
              <w:t>科目名称</w:t>
            </w:r>
          </w:p>
        </w:tc>
        <w:tc>
          <w:tcPr>
            <w:tcW w:w="852" w:type="pct"/>
            <w:vMerge w:val="restar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小计</w:t>
            </w:r>
          </w:p>
        </w:tc>
        <w:tc>
          <w:tcPr>
            <w:tcW w:w="852" w:type="pct"/>
            <w:vMerge w:val="restar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基本支出</w:t>
            </w:r>
          </w:p>
        </w:tc>
        <w:tc>
          <w:tcPr>
            <w:tcW w:w="850" w:type="pct"/>
            <w:vMerge w:val="restar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项目支出</w:t>
            </w:r>
          </w:p>
        </w:tc>
      </w:tr>
      <w:tr w:rsidR="000864ED" w:rsidRPr="000864ED" w:rsidTr="000864ED">
        <w:trPr>
          <w:trHeight w:val="300"/>
        </w:trPr>
        <w:tc>
          <w:tcPr>
            <w:tcW w:w="591" w:type="pct"/>
            <w:gridSpan w:val="3"/>
            <w:vMerge/>
            <w:tcBorders>
              <w:top w:val="nil"/>
              <w:left w:val="single" w:sz="4" w:space="0" w:color="000000"/>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1855"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0"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r>
      <w:tr w:rsidR="000864ED" w:rsidRPr="000864ED" w:rsidTr="000864ED">
        <w:trPr>
          <w:trHeight w:val="300"/>
        </w:trPr>
        <w:tc>
          <w:tcPr>
            <w:tcW w:w="591" w:type="pct"/>
            <w:gridSpan w:val="3"/>
            <w:vMerge/>
            <w:tcBorders>
              <w:top w:val="nil"/>
              <w:left w:val="single" w:sz="4" w:space="0" w:color="000000"/>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1855"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2"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850"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r>
      <w:tr w:rsidR="000864ED" w:rsidRPr="000864ED" w:rsidTr="000864ED">
        <w:trPr>
          <w:trHeight w:val="300"/>
        </w:trPr>
        <w:tc>
          <w:tcPr>
            <w:tcW w:w="197"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864ED" w:rsidRPr="000864ED" w:rsidRDefault="000864ED" w:rsidP="000864ED">
            <w:pPr>
              <w:jc w:val="center"/>
              <w:rPr>
                <w:rFonts w:cs="Arial"/>
                <w:sz w:val="20"/>
                <w:szCs w:val="20"/>
              </w:rPr>
            </w:pPr>
            <w:r w:rsidRPr="000864ED">
              <w:rPr>
                <w:rFonts w:cs="Arial" w:hint="eastAsia"/>
                <w:sz w:val="20"/>
                <w:szCs w:val="20"/>
              </w:rPr>
              <w:t>类</w:t>
            </w:r>
          </w:p>
        </w:tc>
        <w:tc>
          <w:tcPr>
            <w:tcW w:w="197" w:type="pct"/>
            <w:vMerge w:val="restar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center"/>
              <w:rPr>
                <w:rFonts w:cs="Arial"/>
                <w:sz w:val="20"/>
                <w:szCs w:val="20"/>
              </w:rPr>
            </w:pPr>
            <w:r w:rsidRPr="000864ED">
              <w:rPr>
                <w:rFonts w:cs="Arial" w:hint="eastAsia"/>
                <w:sz w:val="20"/>
                <w:szCs w:val="20"/>
              </w:rPr>
              <w:t>款</w:t>
            </w:r>
          </w:p>
        </w:tc>
        <w:tc>
          <w:tcPr>
            <w:tcW w:w="197" w:type="pct"/>
            <w:vMerge w:val="restar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center"/>
              <w:rPr>
                <w:rFonts w:cs="Arial"/>
                <w:sz w:val="20"/>
                <w:szCs w:val="20"/>
              </w:rPr>
            </w:pPr>
            <w:r w:rsidRPr="000864ED">
              <w:rPr>
                <w:rFonts w:cs="Arial" w:hint="eastAsia"/>
                <w:sz w:val="20"/>
                <w:szCs w:val="20"/>
              </w:rPr>
              <w:t>项</w:t>
            </w:r>
          </w:p>
        </w:tc>
        <w:tc>
          <w:tcPr>
            <w:tcW w:w="1855"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rPr>
                <w:rFonts w:cs="Arial"/>
                <w:sz w:val="20"/>
                <w:szCs w:val="20"/>
              </w:rPr>
            </w:pPr>
            <w:r w:rsidRPr="000864ED">
              <w:rPr>
                <w:rFonts w:cs="Arial" w:hint="eastAsia"/>
                <w:sz w:val="20"/>
                <w:szCs w:val="20"/>
              </w:rPr>
              <w:t>栏次</w:t>
            </w:r>
          </w:p>
        </w:tc>
        <w:tc>
          <w:tcPr>
            <w:tcW w:w="852" w:type="pc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1</w:t>
            </w:r>
          </w:p>
        </w:tc>
        <w:tc>
          <w:tcPr>
            <w:tcW w:w="852" w:type="pc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2</w:t>
            </w:r>
          </w:p>
        </w:tc>
        <w:tc>
          <w:tcPr>
            <w:tcW w:w="850" w:type="pct"/>
            <w:tcBorders>
              <w:top w:val="nil"/>
              <w:left w:val="nil"/>
              <w:bottom w:val="single" w:sz="4" w:space="0" w:color="000000"/>
              <w:right w:val="single" w:sz="4" w:space="0" w:color="000000"/>
            </w:tcBorders>
            <w:shd w:val="clear" w:color="auto" w:fill="auto"/>
            <w:vAlign w:val="center"/>
            <w:hideMark/>
          </w:tcPr>
          <w:p w:rsidR="000864ED" w:rsidRPr="000864ED" w:rsidRDefault="000864ED" w:rsidP="000864ED">
            <w:pPr>
              <w:jc w:val="center"/>
              <w:rPr>
                <w:rFonts w:cs="Arial"/>
                <w:sz w:val="20"/>
                <w:szCs w:val="20"/>
              </w:rPr>
            </w:pPr>
            <w:r w:rsidRPr="000864ED">
              <w:rPr>
                <w:rFonts w:cs="Arial" w:hint="eastAsia"/>
                <w:sz w:val="20"/>
                <w:szCs w:val="20"/>
              </w:rPr>
              <w:t>3</w:t>
            </w:r>
          </w:p>
        </w:tc>
      </w:tr>
      <w:tr w:rsidR="000864ED" w:rsidRPr="000864ED" w:rsidTr="000864ED">
        <w:trPr>
          <w:trHeight w:val="300"/>
        </w:trPr>
        <w:tc>
          <w:tcPr>
            <w:tcW w:w="197" w:type="pct"/>
            <w:vMerge/>
            <w:tcBorders>
              <w:top w:val="nil"/>
              <w:left w:val="single" w:sz="4" w:space="0" w:color="000000"/>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197"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197" w:type="pct"/>
            <w:vMerge/>
            <w:tcBorders>
              <w:top w:val="nil"/>
              <w:left w:val="nil"/>
              <w:bottom w:val="single" w:sz="4" w:space="0" w:color="000000"/>
              <w:right w:val="single" w:sz="4" w:space="0" w:color="000000"/>
            </w:tcBorders>
            <w:vAlign w:val="center"/>
            <w:hideMark/>
          </w:tcPr>
          <w:p w:rsidR="000864ED" w:rsidRPr="000864ED" w:rsidRDefault="000864ED" w:rsidP="000864ED">
            <w:pPr>
              <w:rPr>
                <w:rFonts w:cs="Arial"/>
                <w:sz w:val="20"/>
                <w:szCs w:val="20"/>
              </w:rPr>
            </w:pPr>
          </w:p>
        </w:tc>
        <w:tc>
          <w:tcPr>
            <w:tcW w:w="1855"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center"/>
              <w:rPr>
                <w:rFonts w:cs="Arial"/>
                <w:sz w:val="20"/>
                <w:szCs w:val="20"/>
              </w:rPr>
            </w:pPr>
            <w:r w:rsidRPr="000864ED">
              <w:rPr>
                <w:rFonts w:cs="Arial" w:hint="eastAsia"/>
                <w:sz w:val="20"/>
                <w:szCs w:val="20"/>
              </w:rPr>
              <w:t>合计</w:t>
            </w:r>
          </w:p>
        </w:tc>
        <w:tc>
          <w:tcPr>
            <w:tcW w:w="852"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c>
          <w:tcPr>
            <w:tcW w:w="852"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r>
      <w:tr w:rsidR="000864ED" w:rsidRPr="000864ED" w:rsidTr="000864ED">
        <w:trPr>
          <w:trHeight w:val="300"/>
        </w:trPr>
        <w:tc>
          <w:tcPr>
            <w:tcW w:w="59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864ED" w:rsidRPr="000864ED" w:rsidRDefault="000864ED" w:rsidP="000864ED">
            <w:pPr>
              <w:rPr>
                <w:rFonts w:cs="Arial"/>
                <w:sz w:val="20"/>
                <w:szCs w:val="20"/>
              </w:rPr>
            </w:pPr>
            <w:r w:rsidRPr="000864ED">
              <w:rPr>
                <w:rFonts w:cs="Arial" w:hint="eastAsia"/>
                <w:sz w:val="20"/>
                <w:szCs w:val="20"/>
              </w:rPr>
              <w:t xml:space="preserve">　</w:t>
            </w:r>
          </w:p>
        </w:tc>
        <w:tc>
          <w:tcPr>
            <w:tcW w:w="1855"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rPr>
                <w:rFonts w:cs="Arial"/>
                <w:sz w:val="20"/>
                <w:szCs w:val="20"/>
              </w:rPr>
            </w:pPr>
            <w:r w:rsidRPr="000864ED">
              <w:rPr>
                <w:rFonts w:cs="Arial" w:hint="eastAsia"/>
                <w:sz w:val="20"/>
                <w:szCs w:val="20"/>
              </w:rPr>
              <w:t xml:space="preserve">　</w:t>
            </w:r>
          </w:p>
        </w:tc>
        <w:tc>
          <w:tcPr>
            <w:tcW w:w="852"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c>
          <w:tcPr>
            <w:tcW w:w="852"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rsidR="000864ED" w:rsidRPr="000864ED" w:rsidRDefault="000864ED" w:rsidP="000864ED">
            <w:pPr>
              <w:jc w:val="right"/>
              <w:rPr>
                <w:rFonts w:cs="Arial"/>
                <w:sz w:val="20"/>
                <w:szCs w:val="20"/>
              </w:rPr>
            </w:pPr>
            <w:r w:rsidRPr="000864ED">
              <w:rPr>
                <w:rFonts w:cs="Arial" w:hint="eastAsia"/>
                <w:sz w:val="20"/>
                <w:szCs w:val="20"/>
              </w:rPr>
              <w:t xml:space="preserve">　</w:t>
            </w:r>
          </w:p>
        </w:tc>
      </w:tr>
    </w:tbl>
    <w:p w:rsidR="000864ED" w:rsidRPr="000864ED" w:rsidRDefault="000864ED" w:rsidP="000864ED">
      <w:pPr>
        <w:rPr>
          <w:rFonts w:cs="Arial"/>
          <w:sz w:val="20"/>
          <w:szCs w:val="20"/>
        </w:rPr>
      </w:pPr>
      <w:r w:rsidRPr="000864ED">
        <w:rPr>
          <w:rFonts w:cs="Arial" w:hint="eastAsia"/>
          <w:sz w:val="20"/>
          <w:szCs w:val="20"/>
        </w:rPr>
        <w:t>注：本表反映本年度国有资本经营预算财政拨款支出情况。</w:t>
      </w:r>
    </w:p>
    <w:p w:rsidR="000864ED" w:rsidRPr="000864ED" w:rsidRDefault="000864ED" w:rsidP="000864ED">
      <w:pPr>
        <w:rPr>
          <w:rFonts w:cs="Arial"/>
          <w:sz w:val="20"/>
          <w:szCs w:val="20"/>
        </w:rPr>
      </w:pPr>
      <w:r>
        <w:rPr>
          <w:rFonts w:cs="Arial" w:hint="eastAsia"/>
          <w:sz w:val="20"/>
          <w:szCs w:val="20"/>
        </w:rPr>
        <w:t xml:space="preserve">    </w:t>
      </w:r>
      <w:r w:rsidRPr="000864ED">
        <w:rPr>
          <w:rFonts w:cs="Arial"/>
          <w:sz w:val="20"/>
          <w:szCs w:val="20"/>
        </w:rPr>
        <w:t>本部门（单位）2020年度无国有资本经营预算财政拨款支出安排，故无相关数据。</w:t>
      </w:r>
    </w:p>
    <w:sectPr w:rsidR="000864ED" w:rsidRPr="000864ED" w:rsidSect="00E40755">
      <w:pgSz w:w="16840" w:h="11907" w:orient="landscape"/>
      <w:pgMar w:top="1797" w:right="1440" w:bottom="1797" w:left="144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1F" w:rsidRDefault="00004A1F">
      <w:r>
        <w:separator/>
      </w:r>
    </w:p>
  </w:endnote>
  <w:endnote w:type="continuationSeparator" w:id="1">
    <w:p w:rsidR="00004A1F" w:rsidRDefault="0000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4" w:rsidRDefault="00154BED">
    <w:pPr>
      <w:pStyle w:val="a7"/>
      <w:framePr w:wrap="around" w:vAnchor="text" w:hAnchor="margin" w:xAlign="center" w:y="1"/>
      <w:rPr>
        <w:rStyle w:val="a9"/>
      </w:rPr>
    </w:pPr>
    <w:r>
      <w:rPr>
        <w:rStyle w:val="a9"/>
        <w:rFonts w:hint="eastAsia"/>
      </w:rPr>
      <w:fldChar w:fldCharType="begin"/>
    </w:r>
    <w:r w:rsidR="00E36726">
      <w:rPr>
        <w:rStyle w:val="a9"/>
        <w:rFonts w:hint="eastAsia"/>
      </w:rPr>
      <w:instrText xml:space="preserve">PAGE  </w:instrText>
    </w:r>
    <w:r>
      <w:rPr>
        <w:rStyle w:val="a9"/>
        <w:rFonts w:hint="eastAsia"/>
      </w:rPr>
      <w:fldChar w:fldCharType="end"/>
    </w:r>
  </w:p>
  <w:p w:rsidR="001F64D4" w:rsidRDefault="001F64D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844"/>
      <w:docPartObj>
        <w:docPartGallery w:val="Page Numbers (Bottom of Page)"/>
        <w:docPartUnique/>
      </w:docPartObj>
    </w:sdtPr>
    <w:sdtContent>
      <w:p w:rsidR="00CA068F" w:rsidRDefault="00154BED">
        <w:pPr>
          <w:pStyle w:val="a7"/>
          <w:jc w:val="center"/>
        </w:pPr>
        <w:fldSimple w:instr=" PAGE   \* MERGEFORMAT ">
          <w:r w:rsidR="0085752F" w:rsidRPr="0085752F">
            <w:rPr>
              <w:noProof/>
              <w:lang w:val="zh-CN"/>
            </w:rPr>
            <w:t>1</w:t>
          </w:r>
        </w:fldSimple>
      </w:p>
    </w:sdtContent>
  </w:sdt>
  <w:p w:rsidR="00CA068F" w:rsidRDefault="00CA06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846"/>
      <w:docPartObj>
        <w:docPartGallery w:val="Page Numbers (Bottom of Page)"/>
        <w:docPartUnique/>
      </w:docPartObj>
    </w:sdtPr>
    <w:sdtContent>
      <w:p w:rsidR="00CA068F" w:rsidRDefault="00154BED">
        <w:pPr>
          <w:pStyle w:val="a7"/>
          <w:jc w:val="center"/>
        </w:pPr>
        <w:fldSimple w:instr=" PAGE   \* MERGEFORMAT ">
          <w:r w:rsidR="0085752F" w:rsidRPr="0085752F">
            <w:rPr>
              <w:noProof/>
              <w:lang w:val="zh-CN"/>
            </w:rPr>
            <w:t>14</w:t>
          </w:r>
        </w:fldSimple>
      </w:p>
    </w:sdtContent>
  </w:sdt>
  <w:p w:rsidR="00CA068F" w:rsidRDefault="00CA068F" w:rsidP="00CA068F">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845"/>
      <w:docPartObj>
        <w:docPartGallery w:val="Page Numbers (Bottom of Page)"/>
        <w:docPartUnique/>
      </w:docPartObj>
    </w:sdtPr>
    <w:sdtContent>
      <w:p w:rsidR="00CA068F" w:rsidRDefault="00154BED">
        <w:pPr>
          <w:pStyle w:val="a7"/>
          <w:jc w:val="center"/>
        </w:pPr>
        <w:fldSimple w:instr=" PAGE   \* MERGEFORMAT ">
          <w:r w:rsidR="0085752F" w:rsidRPr="0085752F">
            <w:rPr>
              <w:noProof/>
              <w:lang w:val="zh-CN"/>
            </w:rPr>
            <w:t>1</w:t>
          </w:r>
        </w:fldSimple>
      </w:p>
    </w:sdtContent>
  </w:sdt>
  <w:p w:rsidR="00CA068F" w:rsidRDefault="00CA06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1F" w:rsidRDefault="00004A1F">
      <w:r>
        <w:separator/>
      </w:r>
    </w:p>
  </w:footnote>
  <w:footnote w:type="continuationSeparator" w:id="1">
    <w:p w:rsidR="00004A1F" w:rsidRDefault="00004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45058"/>
  </w:hdrShapeDefaults>
  <w:footnotePr>
    <w:footnote w:id="0"/>
    <w:footnote w:id="1"/>
  </w:footnotePr>
  <w:endnotePr>
    <w:endnote w:id="0"/>
    <w:endnote w:id="1"/>
  </w:endnotePr>
  <w:compat>
    <w:useFELayout/>
  </w:compat>
  <w:rsids>
    <w:rsidRoot w:val="00E40755"/>
    <w:rsid w:val="00004A1F"/>
    <w:rsid w:val="000701A8"/>
    <w:rsid w:val="000864ED"/>
    <w:rsid w:val="00154BED"/>
    <w:rsid w:val="001F64D4"/>
    <w:rsid w:val="00796AEF"/>
    <w:rsid w:val="0085752F"/>
    <w:rsid w:val="00A926B7"/>
    <w:rsid w:val="00B84663"/>
    <w:rsid w:val="00BE70D7"/>
    <w:rsid w:val="00CA068F"/>
    <w:rsid w:val="00CB61B1"/>
    <w:rsid w:val="00CE5977"/>
    <w:rsid w:val="00E36726"/>
    <w:rsid w:val="00E40755"/>
    <w:rsid w:val="00E62B00"/>
    <w:rsid w:val="00E82A19"/>
    <w:rsid w:val="00EB6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Default Paragraph Font" w:uiPriority="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4D4"/>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64D4"/>
    <w:rPr>
      <w:color w:val="0000FF"/>
      <w:u w:val="single"/>
    </w:rPr>
  </w:style>
  <w:style w:type="character" w:styleId="a4">
    <w:name w:val="FollowedHyperlink"/>
    <w:basedOn w:val="a0"/>
    <w:rsid w:val="001F64D4"/>
    <w:rPr>
      <w:color w:val="0000FF"/>
      <w:u w:val="single"/>
    </w:rPr>
  </w:style>
  <w:style w:type="paragraph" w:styleId="a5">
    <w:name w:val="Normal (Web)"/>
    <w:basedOn w:val="a"/>
    <w:uiPriority w:val="99"/>
    <w:semiHidden/>
    <w:rsid w:val="001F64D4"/>
    <w:pPr>
      <w:spacing w:before="100" w:beforeAutospacing="1" w:after="100" w:afterAutospacing="1"/>
    </w:pPr>
  </w:style>
  <w:style w:type="paragraph" w:styleId="a6">
    <w:name w:val="header"/>
    <w:basedOn w:val="a"/>
    <w:link w:val="Char"/>
    <w:uiPriority w:val="99"/>
    <w:semiHidden/>
    <w:rsid w:val="001F6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1F64D4"/>
    <w:rPr>
      <w:rFonts w:ascii="宋体" w:eastAsia="宋体" w:hAnsi="宋体" w:cs="宋体" w:hint="eastAsia"/>
      <w:sz w:val="18"/>
      <w:szCs w:val="18"/>
    </w:rPr>
  </w:style>
  <w:style w:type="paragraph" w:styleId="a7">
    <w:name w:val="footer"/>
    <w:basedOn w:val="a"/>
    <w:link w:val="Char0"/>
    <w:uiPriority w:val="99"/>
    <w:rsid w:val="001F64D4"/>
    <w:pPr>
      <w:tabs>
        <w:tab w:val="center" w:pos="4153"/>
        <w:tab w:val="right" w:pos="8306"/>
      </w:tabs>
      <w:snapToGrid w:val="0"/>
    </w:pPr>
    <w:rPr>
      <w:sz w:val="18"/>
      <w:szCs w:val="18"/>
    </w:rPr>
  </w:style>
  <w:style w:type="character" w:customStyle="1" w:styleId="Char0">
    <w:name w:val="页脚 Char"/>
    <w:basedOn w:val="a0"/>
    <w:link w:val="a7"/>
    <w:uiPriority w:val="99"/>
    <w:locked/>
    <w:rsid w:val="001F64D4"/>
    <w:rPr>
      <w:rFonts w:ascii="宋体" w:eastAsia="宋体" w:hAnsi="宋体" w:cs="宋体" w:hint="eastAsia"/>
      <w:sz w:val="18"/>
      <w:szCs w:val="18"/>
    </w:rPr>
  </w:style>
  <w:style w:type="paragraph" w:styleId="a8">
    <w:name w:val="Balloon Text"/>
    <w:basedOn w:val="a"/>
    <w:link w:val="Char1"/>
    <w:uiPriority w:val="99"/>
    <w:semiHidden/>
    <w:rsid w:val="001F64D4"/>
    <w:rPr>
      <w:sz w:val="18"/>
      <w:szCs w:val="18"/>
    </w:rPr>
  </w:style>
  <w:style w:type="character" w:customStyle="1" w:styleId="Char1">
    <w:name w:val="批注框文本 Char"/>
    <w:basedOn w:val="a0"/>
    <w:link w:val="a8"/>
    <w:uiPriority w:val="99"/>
    <w:locked/>
    <w:rsid w:val="001F64D4"/>
    <w:rPr>
      <w:rFonts w:ascii="宋体" w:eastAsia="宋体" w:hAnsi="宋体" w:cs="宋体" w:hint="eastAsia"/>
      <w:sz w:val="18"/>
      <w:szCs w:val="18"/>
    </w:rPr>
  </w:style>
  <w:style w:type="paragraph" w:customStyle="1" w:styleId="WPSOffice2">
    <w:name w:val="WPSOffice手动目录 2"/>
    <w:uiPriority w:val="99"/>
    <w:semiHidden/>
    <w:rsid w:val="001F64D4"/>
    <w:pPr>
      <w:ind w:leftChars="200" w:left="200"/>
    </w:pPr>
    <w:rPr>
      <w:rFonts w:eastAsia="宋体"/>
    </w:rPr>
  </w:style>
  <w:style w:type="paragraph" w:customStyle="1" w:styleId="WPSOffice1">
    <w:name w:val="WPSOffice手动目录 1"/>
    <w:uiPriority w:val="99"/>
    <w:semiHidden/>
    <w:rsid w:val="001F64D4"/>
    <w:rPr>
      <w:rFonts w:eastAsia="宋体"/>
    </w:rPr>
  </w:style>
  <w:style w:type="paragraph" w:customStyle="1" w:styleId="Default">
    <w:name w:val="Default"/>
    <w:basedOn w:val="a"/>
    <w:uiPriority w:val="99"/>
    <w:semiHidden/>
    <w:rsid w:val="001F64D4"/>
    <w:pPr>
      <w:widowControl w:val="0"/>
      <w:autoSpaceDE w:val="0"/>
      <w:autoSpaceDN w:val="0"/>
      <w:adjustRightInd w:val="0"/>
    </w:pPr>
    <w:rPr>
      <w:rFonts w:ascii="仿宋_GB2312" w:cs="Times New Roman"/>
      <w:color w:val="000000"/>
    </w:rPr>
  </w:style>
  <w:style w:type="character" w:customStyle="1" w:styleId="21">
    <w:name w:val="21"/>
    <w:basedOn w:val="a0"/>
    <w:rsid w:val="001F64D4"/>
    <w:rPr>
      <w:rFonts w:ascii="Times New Roman" w:hAnsi="Times New Roman" w:cs="Times New Roman" w:hint="default"/>
      <w:b/>
      <w:bCs w:val="0"/>
    </w:rPr>
  </w:style>
  <w:style w:type="character" w:styleId="a9">
    <w:name w:val="page number"/>
    <w:basedOn w:val="a0"/>
    <w:uiPriority w:val="99"/>
    <w:unhideWhenUsed/>
    <w:rsid w:val="001F64D4"/>
  </w:style>
</w:styles>
</file>

<file path=word/webSettings.xml><?xml version="1.0" encoding="utf-8"?>
<w:webSettings xmlns:r="http://schemas.openxmlformats.org/officeDocument/2006/relationships" xmlns:w="http://schemas.openxmlformats.org/wordprocessingml/2006/main">
  <w:divs>
    <w:div w:id="171379103">
      <w:bodyDiv w:val="1"/>
      <w:marLeft w:val="0"/>
      <w:marRight w:val="0"/>
      <w:marTop w:val="0"/>
      <w:marBottom w:val="0"/>
      <w:divBdr>
        <w:top w:val="none" w:sz="0" w:space="0" w:color="auto"/>
        <w:left w:val="none" w:sz="0" w:space="0" w:color="auto"/>
        <w:bottom w:val="none" w:sz="0" w:space="0" w:color="auto"/>
        <w:right w:val="none" w:sz="0" w:space="0" w:color="auto"/>
      </w:divBdr>
    </w:div>
    <w:div w:id="320353159">
      <w:bodyDiv w:val="1"/>
      <w:marLeft w:val="0"/>
      <w:marRight w:val="0"/>
      <w:marTop w:val="0"/>
      <w:marBottom w:val="0"/>
      <w:divBdr>
        <w:top w:val="none" w:sz="0" w:space="0" w:color="auto"/>
        <w:left w:val="none" w:sz="0" w:space="0" w:color="auto"/>
        <w:bottom w:val="none" w:sz="0" w:space="0" w:color="auto"/>
        <w:right w:val="none" w:sz="0" w:space="0" w:color="auto"/>
      </w:divBdr>
    </w:div>
    <w:div w:id="330447628">
      <w:bodyDiv w:val="1"/>
      <w:marLeft w:val="0"/>
      <w:marRight w:val="0"/>
      <w:marTop w:val="0"/>
      <w:marBottom w:val="0"/>
      <w:divBdr>
        <w:top w:val="none" w:sz="0" w:space="0" w:color="auto"/>
        <w:left w:val="none" w:sz="0" w:space="0" w:color="auto"/>
        <w:bottom w:val="none" w:sz="0" w:space="0" w:color="auto"/>
        <w:right w:val="none" w:sz="0" w:space="0" w:color="auto"/>
      </w:divBdr>
    </w:div>
    <w:div w:id="492256973">
      <w:bodyDiv w:val="1"/>
      <w:marLeft w:val="0"/>
      <w:marRight w:val="0"/>
      <w:marTop w:val="0"/>
      <w:marBottom w:val="0"/>
      <w:divBdr>
        <w:top w:val="none" w:sz="0" w:space="0" w:color="auto"/>
        <w:left w:val="none" w:sz="0" w:space="0" w:color="auto"/>
        <w:bottom w:val="none" w:sz="0" w:space="0" w:color="auto"/>
        <w:right w:val="none" w:sz="0" w:space="0" w:color="auto"/>
      </w:divBdr>
    </w:div>
    <w:div w:id="555120628">
      <w:bodyDiv w:val="1"/>
      <w:marLeft w:val="0"/>
      <w:marRight w:val="0"/>
      <w:marTop w:val="0"/>
      <w:marBottom w:val="0"/>
      <w:divBdr>
        <w:top w:val="none" w:sz="0" w:space="0" w:color="auto"/>
        <w:left w:val="none" w:sz="0" w:space="0" w:color="auto"/>
        <w:bottom w:val="none" w:sz="0" w:space="0" w:color="auto"/>
        <w:right w:val="none" w:sz="0" w:space="0" w:color="auto"/>
      </w:divBdr>
    </w:div>
    <w:div w:id="599878592">
      <w:bodyDiv w:val="1"/>
      <w:marLeft w:val="0"/>
      <w:marRight w:val="0"/>
      <w:marTop w:val="0"/>
      <w:marBottom w:val="0"/>
      <w:divBdr>
        <w:top w:val="none" w:sz="0" w:space="0" w:color="auto"/>
        <w:left w:val="none" w:sz="0" w:space="0" w:color="auto"/>
        <w:bottom w:val="none" w:sz="0" w:space="0" w:color="auto"/>
        <w:right w:val="none" w:sz="0" w:space="0" w:color="auto"/>
      </w:divBdr>
    </w:div>
    <w:div w:id="658313282">
      <w:bodyDiv w:val="1"/>
      <w:marLeft w:val="0"/>
      <w:marRight w:val="0"/>
      <w:marTop w:val="0"/>
      <w:marBottom w:val="0"/>
      <w:divBdr>
        <w:top w:val="none" w:sz="0" w:space="0" w:color="auto"/>
        <w:left w:val="none" w:sz="0" w:space="0" w:color="auto"/>
        <w:bottom w:val="none" w:sz="0" w:space="0" w:color="auto"/>
        <w:right w:val="none" w:sz="0" w:space="0" w:color="auto"/>
      </w:divBdr>
    </w:div>
    <w:div w:id="679817165">
      <w:bodyDiv w:val="1"/>
      <w:marLeft w:val="0"/>
      <w:marRight w:val="0"/>
      <w:marTop w:val="0"/>
      <w:marBottom w:val="0"/>
      <w:divBdr>
        <w:top w:val="none" w:sz="0" w:space="0" w:color="auto"/>
        <w:left w:val="none" w:sz="0" w:space="0" w:color="auto"/>
        <w:bottom w:val="none" w:sz="0" w:space="0" w:color="auto"/>
        <w:right w:val="none" w:sz="0" w:space="0" w:color="auto"/>
      </w:divBdr>
    </w:div>
    <w:div w:id="781800134">
      <w:bodyDiv w:val="1"/>
      <w:marLeft w:val="0"/>
      <w:marRight w:val="0"/>
      <w:marTop w:val="0"/>
      <w:marBottom w:val="0"/>
      <w:divBdr>
        <w:top w:val="none" w:sz="0" w:space="0" w:color="auto"/>
        <w:left w:val="none" w:sz="0" w:space="0" w:color="auto"/>
        <w:bottom w:val="none" w:sz="0" w:space="0" w:color="auto"/>
        <w:right w:val="none" w:sz="0" w:space="0" w:color="auto"/>
      </w:divBdr>
    </w:div>
    <w:div w:id="828835928">
      <w:bodyDiv w:val="1"/>
      <w:marLeft w:val="0"/>
      <w:marRight w:val="0"/>
      <w:marTop w:val="0"/>
      <w:marBottom w:val="0"/>
      <w:divBdr>
        <w:top w:val="none" w:sz="0" w:space="0" w:color="auto"/>
        <w:left w:val="none" w:sz="0" w:space="0" w:color="auto"/>
        <w:bottom w:val="none" w:sz="0" w:space="0" w:color="auto"/>
        <w:right w:val="none" w:sz="0" w:space="0" w:color="auto"/>
      </w:divBdr>
    </w:div>
    <w:div w:id="1257523616">
      <w:bodyDiv w:val="1"/>
      <w:marLeft w:val="0"/>
      <w:marRight w:val="0"/>
      <w:marTop w:val="0"/>
      <w:marBottom w:val="0"/>
      <w:divBdr>
        <w:top w:val="none" w:sz="0" w:space="0" w:color="auto"/>
        <w:left w:val="none" w:sz="0" w:space="0" w:color="auto"/>
        <w:bottom w:val="none" w:sz="0" w:space="0" w:color="auto"/>
        <w:right w:val="none" w:sz="0" w:space="0" w:color="auto"/>
      </w:divBdr>
    </w:div>
    <w:div w:id="1583755814">
      <w:bodyDiv w:val="1"/>
      <w:marLeft w:val="0"/>
      <w:marRight w:val="0"/>
      <w:marTop w:val="0"/>
      <w:marBottom w:val="0"/>
      <w:divBdr>
        <w:top w:val="none" w:sz="0" w:space="0" w:color="auto"/>
        <w:left w:val="none" w:sz="0" w:space="0" w:color="auto"/>
        <w:bottom w:val="none" w:sz="0" w:space="0" w:color="auto"/>
        <w:right w:val="none" w:sz="0" w:space="0" w:color="auto"/>
      </w:divBdr>
    </w:div>
    <w:div w:id="1616208824">
      <w:bodyDiv w:val="1"/>
      <w:marLeft w:val="0"/>
      <w:marRight w:val="0"/>
      <w:marTop w:val="0"/>
      <w:marBottom w:val="0"/>
      <w:divBdr>
        <w:top w:val="none" w:sz="0" w:space="0" w:color="auto"/>
        <w:left w:val="none" w:sz="0" w:space="0" w:color="auto"/>
        <w:bottom w:val="none" w:sz="0" w:space="0" w:color="auto"/>
        <w:right w:val="none" w:sz="0" w:space="0" w:color="auto"/>
      </w:divBdr>
    </w:div>
    <w:div w:id="1652825968">
      <w:bodyDiv w:val="1"/>
      <w:marLeft w:val="0"/>
      <w:marRight w:val="0"/>
      <w:marTop w:val="0"/>
      <w:marBottom w:val="0"/>
      <w:divBdr>
        <w:top w:val="none" w:sz="0" w:space="0" w:color="auto"/>
        <w:left w:val="none" w:sz="0" w:space="0" w:color="auto"/>
        <w:bottom w:val="none" w:sz="0" w:space="0" w:color="auto"/>
        <w:right w:val="none" w:sz="0" w:space="0" w:color="auto"/>
      </w:divBdr>
    </w:div>
    <w:div w:id="1794323288">
      <w:bodyDiv w:val="1"/>
      <w:marLeft w:val="0"/>
      <w:marRight w:val="0"/>
      <w:marTop w:val="0"/>
      <w:marBottom w:val="0"/>
      <w:divBdr>
        <w:top w:val="none" w:sz="0" w:space="0" w:color="auto"/>
        <w:left w:val="none" w:sz="0" w:space="0" w:color="auto"/>
        <w:bottom w:val="none" w:sz="0" w:space="0" w:color="auto"/>
        <w:right w:val="none" w:sz="0" w:space="0" w:color="auto"/>
      </w:divBdr>
    </w:div>
    <w:div w:id="2121610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01C8-104C-44EA-ADDE-A84817E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2526</Words>
  <Characters>14399</Characters>
  <Application>Microsoft Office Word</Application>
  <DocSecurity>0</DocSecurity>
  <Lines>119</Lines>
  <Paragraphs>33</Paragraphs>
  <ScaleCrop>false</ScaleCrop>
  <Company>Microsoft</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hui</dc:creator>
  <cp:lastModifiedBy>hui</cp:lastModifiedBy>
  <cp:revision>9</cp:revision>
  <dcterms:created xsi:type="dcterms:W3CDTF">2021-08-31T01:50:00Z</dcterms:created>
  <dcterms:modified xsi:type="dcterms:W3CDTF">2021-08-31T02:52:00Z</dcterms:modified>
</cp:coreProperties>
</file>